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B1585F">
      <w:pPr>
        <w:pStyle w:val="N01Y"/>
      </w:pPr>
      <w:bookmarkStart w:id="0" w:name="_GoBack"/>
      <w:bookmarkEnd w:id="0"/>
      <w:r>
        <w:t>2181.</w:t>
      </w:r>
    </w:p>
    <w:p w:rsidR="00000000" w:rsidRDefault="00B1585F">
      <w:pPr>
        <w:pStyle w:val="N02Y"/>
      </w:pPr>
      <w:r>
        <w:t xml:space="preserve">Na osnovu </w:t>
      </w:r>
      <w:r>
        <w:t>č</w:t>
      </w:r>
      <w:r>
        <w:t>lana 9 stav 6 Zakona o zaštiti od buke u životnoj sredini ("Službeni list CG", broj 117</w:t>
      </w:r>
      <w:r>
        <w:t>/26), Ministarstvo ekologije, održivog razvoja i razvoja sjevera donijelo je</w:t>
      </w:r>
    </w:p>
    <w:p w:rsidR="00000000" w:rsidRDefault="00B1585F">
      <w:pPr>
        <w:pStyle w:val="N03Y"/>
      </w:pPr>
      <w:r>
        <w:t>PRAVILNIK</w:t>
      </w:r>
    </w:p>
    <w:p w:rsidR="00000000" w:rsidRDefault="00B1585F">
      <w:pPr>
        <w:pStyle w:val="N03Y"/>
      </w:pPr>
      <w:r>
        <w:t>O INDIKATORIMA BUKE, METODAMA IZRA</w:t>
      </w:r>
      <w:r>
        <w:t>Č</w:t>
      </w:r>
      <w:r>
        <w:t>UNAVANJA, MJERENJA I OCJENJIVANJA NIVOA BUKE U ŽIVOTNOJ SREDINI I SADRŽAJU IZVJEŠTAJA O IZVRŠENOM MJERENJU I OCJENJIVANJU NIVOA BUKE U ŽIVOTNOJ SREDINI</w:t>
      </w:r>
      <w:r>
        <w:rPr>
          <w:rFonts w:ascii="Cambria Math" w:hAnsi="Cambria Math" w:cs="Cambria Math"/>
        </w:rPr>
        <w:t>∗</w:t>
      </w:r>
    </w:p>
    <w:p w:rsidR="00000000" w:rsidRDefault="00B1585F">
      <w:pPr>
        <w:pStyle w:val="N05Y"/>
      </w:pPr>
      <w:r>
        <w:t>("Službeni list Crne Gore", br. 122/26 od 17.08.2026)</w:t>
      </w:r>
    </w:p>
    <w:p w:rsidR="00000000" w:rsidRDefault="00B1585F">
      <w:pPr>
        <w:pStyle w:val="C30X"/>
      </w:pPr>
      <w:r>
        <w:t>Č</w:t>
      </w:r>
      <w:r>
        <w:t>lan 1</w:t>
      </w:r>
    </w:p>
    <w:p w:rsidR="00000000" w:rsidRDefault="00B1585F">
      <w:pPr>
        <w:pStyle w:val="T30X"/>
      </w:pPr>
      <w:r>
        <w:t>Ovim pravilnikom propisuju se indikatori b</w:t>
      </w:r>
      <w:r>
        <w:t>uke, metode izra</w:t>
      </w:r>
      <w:r>
        <w:t>č</w:t>
      </w:r>
      <w:r>
        <w:t>unavanja, mjerenja i ocjenjivanja nivoa buke u životnoj sredini i sadržaj izvještaja o izvršenom mjerenju i ocjenjivanju nivoa buke u životnoj sredini.</w:t>
      </w:r>
    </w:p>
    <w:p w:rsidR="00000000" w:rsidRDefault="00B1585F">
      <w:pPr>
        <w:pStyle w:val="C30X"/>
      </w:pPr>
      <w:r>
        <w:t>Č</w:t>
      </w:r>
      <w:r>
        <w:t>lan 2</w:t>
      </w:r>
    </w:p>
    <w:p w:rsidR="00000000" w:rsidRDefault="00B1585F">
      <w:pPr>
        <w:pStyle w:val="T30X"/>
      </w:pPr>
      <w:r>
        <w:t>Indikatori buke su osnovni, pomo</w:t>
      </w:r>
      <w:r>
        <w:t>ć</w:t>
      </w:r>
      <w:r>
        <w:t xml:space="preserve">ni i dodatni, </w:t>
      </w:r>
      <w:r>
        <w:t>č</w:t>
      </w:r>
      <w:r>
        <w:t>ija se vrijednost izražava jedin</w:t>
      </w:r>
      <w:r>
        <w:t>icom decibel.</w:t>
      </w:r>
    </w:p>
    <w:p w:rsidR="00000000" w:rsidRDefault="00B1585F">
      <w:pPr>
        <w:pStyle w:val="T30X"/>
      </w:pPr>
      <w:r>
        <w:t>Osnovni indikatori buke koriste se za izradu strateških karata buke i akcionih planova.</w:t>
      </w:r>
    </w:p>
    <w:p w:rsidR="00000000" w:rsidRDefault="00B1585F">
      <w:pPr>
        <w:pStyle w:val="T30X"/>
      </w:pPr>
      <w:r>
        <w:t xml:space="preserve">Osim indikatora iz stava 2 ovog </w:t>
      </w:r>
      <w:r>
        <w:t>č</w:t>
      </w:r>
      <w:r>
        <w:t>lana za lokalne ili nacionalne potrebe, mogu se koristiti i pomo</w:t>
      </w:r>
      <w:r>
        <w:t>ć</w:t>
      </w:r>
      <w:r>
        <w:t>ni indikatori buke pri izradi strateških karata buke i a</w:t>
      </w:r>
      <w:r>
        <w:t>kcionih planova.</w:t>
      </w:r>
    </w:p>
    <w:p w:rsidR="00000000" w:rsidRDefault="00B1585F">
      <w:pPr>
        <w:pStyle w:val="T30X"/>
      </w:pPr>
      <w:r>
        <w:t>Osnovni i pomo</w:t>
      </w:r>
      <w:r>
        <w:t>ć</w:t>
      </w:r>
      <w:r>
        <w:t>ni indikatori buke koriste se za monitoring buke, za pojedina</w:t>
      </w:r>
      <w:r>
        <w:t>č</w:t>
      </w:r>
      <w:r>
        <w:t>na mjerenja buke drumskog, željezni</w:t>
      </w:r>
      <w:r>
        <w:t>č</w:t>
      </w:r>
      <w:r>
        <w:t>kog i vazdušnog saobra</w:t>
      </w:r>
      <w:r>
        <w:t>ć</w:t>
      </w:r>
      <w:r>
        <w:t>aja, akusti</w:t>
      </w:r>
      <w:r>
        <w:t>č</w:t>
      </w:r>
      <w:r>
        <w:t>ko planiranje i akusti</w:t>
      </w:r>
      <w:r>
        <w:t>č</w:t>
      </w:r>
      <w:r>
        <w:t>ko zoniranje.</w:t>
      </w:r>
    </w:p>
    <w:p w:rsidR="00000000" w:rsidRDefault="00B1585F">
      <w:pPr>
        <w:pStyle w:val="T30X"/>
      </w:pPr>
      <w:r>
        <w:t xml:space="preserve">Dodatni indikatori buke se koriste za mjerenje buke u </w:t>
      </w:r>
      <w:r>
        <w:t>zoni uticaja pojedina</w:t>
      </w:r>
      <w:r>
        <w:t>č</w:t>
      </w:r>
      <w:r>
        <w:t>nih izvora buke i izvora privremenog karaktera.</w:t>
      </w:r>
    </w:p>
    <w:p w:rsidR="00000000" w:rsidRDefault="00B1585F">
      <w:pPr>
        <w:pStyle w:val="T30X"/>
      </w:pPr>
      <w:r>
        <w:t>Pojedina</w:t>
      </w:r>
      <w:r>
        <w:t>č</w:t>
      </w:r>
      <w:r>
        <w:t xml:space="preserve">ni izvori buke iz stava 4 ovog </w:t>
      </w:r>
      <w:r>
        <w:t>č</w:t>
      </w:r>
      <w:r>
        <w:t>lana su svi izvori buke osim drumskog, željezni</w:t>
      </w:r>
      <w:r>
        <w:t>č</w:t>
      </w:r>
      <w:r>
        <w:t>kog i vazdušnog saobra</w:t>
      </w:r>
      <w:r>
        <w:t>ć</w:t>
      </w:r>
      <w:r>
        <w:t>aja.</w:t>
      </w:r>
    </w:p>
    <w:p w:rsidR="00000000" w:rsidRDefault="00B1585F">
      <w:pPr>
        <w:pStyle w:val="T30X"/>
      </w:pPr>
      <w:r>
        <w:t xml:space="preserve">Izvori buke privremenog karaktera iz stava 5 ovog </w:t>
      </w:r>
      <w:r>
        <w:t>č</w:t>
      </w:r>
      <w:r>
        <w:t>lana su svi izvori</w:t>
      </w:r>
      <w:r>
        <w:t xml:space="preserve"> buke </w:t>
      </w:r>
      <w:r>
        <w:t>č</w:t>
      </w:r>
      <w:r>
        <w:t>ije je djelovanje vezano za povremene aktivnosti ograni</w:t>
      </w:r>
      <w:r>
        <w:t>č</w:t>
      </w:r>
      <w:r>
        <w:t>enog trajanja i koje ne predstavljaju djelatnost koja je planirana za obavljanje u skladu sa namjenom prostora na kojem se te aktivnosti vrše.</w:t>
      </w:r>
    </w:p>
    <w:p w:rsidR="00000000" w:rsidRDefault="00B1585F">
      <w:pPr>
        <w:pStyle w:val="T30X"/>
      </w:pPr>
      <w:r>
        <w:t>Definicije indikatora buke i na</w:t>
      </w:r>
      <w:r>
        <w:t>č</w:t>
      </w:r>
      <w:r>
        <w:t>in njihovog odre</w:t>
      </w:r>
      <w:r>
        <w:t>đ</w:t>
      </w:r>
      <w:r>
        <w:t>i</w:t>
      </w:r>
      <w:r>
        <w:t>vanja su dati u Prilogu 1.</w:t>
      </w:r>
    </w:p>
    <w:p w:rsidR="00000000" w:rsidRDefault="00B1585F">
      <w:pPr>
        <w:pStyle w:val="C30X"/>
      </w:pPr>
      <w:r>
        <w:t>Č</w:t>
      </w:r>
      <w:r>
        <w:t>lan 3</w:t>
      </w:r>
    </w:p>
    <w:p w:rsidR="00000000" w:rsidRDefault="00B1585F">
      <w:pPr>
        <w:pStyle w:val="T30X"/>
      </w:pPr>
      <w:r>
        <w:t>Osnovni indikatori buke su:</w:t>
      </w:r>
    </w:p>
    <w:p w:rsidR="00000000" w:rsidRDefault="00B1585F">
      <w:pPr>
        <w:pStyle w:val="T30X"/>
        <w:ind w:left="567" w:hanging="283"/>
      </w:pPr>
      <w:r>
        <w:t xml:space="preserve">   1) indikator buke za dan-ve</w:t>
      </w:r>
      <w:r>
        <w:t>č</w:t>
      </w:r>
      <w:r>
        <w:t>e-no</w:t>
      </w:r>
      <w:r>
        <w:t>ć</w:t>
      </w:r>
      <w:r>
        <w:t>, L</w:t>
      </w:r>
      <w:r>
        <w:rPr>
          <w:vertAlign w:val="subscript"/>
        </w:rPr>
        <w:t>den</w:t>
      </w:r>
      <w:r>
        <w:t>, koji opisuje ukupno uznemiravanje bukom u životnoj sredini;</w:t>
      </w:r>
    </w:p>
    <w:p w:rsidR="00000000" w:rsidRDefault="00B1585F">
      <w:pPr>
        <w:pStyle w:val="T30X"/>
        <w:ind w:left="567" w:hanging="283"/>
      </w:pPr>
      <w:r>
        <w:t xml:space="preserve">   2) indikator buke za no</w:t>
      </w:r>
      <w:r>
        <w:t>ć</w:t>
      </w:r>
      <w:r>
        <w:t xml:space="preserve">, </w:t>
      </w:r>
      <w:r>
        <w:rPr>
          <w:vertAlign w:val="subscript"/>
        </w:rPr>
        <w:t>Lnight</w:t>
      </w:r>
      <w:r>
        <w:t xml:space="preserve">, koji opisuje ometanje sna bukom u životnoj sredini u </w:t>
      </w:r>
      <w:r>
        <w:t>toku no</w:t>
      </w:r>
      <w:r>
        <w:t>ć</w:t>
      </w:r>
      <w:r>
        <w:t>i.</w:t>
      </w:r>
    </w:p>
    <w:p w:rsidR="00000000" w:rsidRDefault="00B1585F">
      <w:pPr>
        <w:pStyle w:val="T30X"/>
      </w:pPr>
      <w:r>
        <w:t>Pomo</w:t>
      </w:r>
      <w:r>
        <w:t>ć</w:t>
      </w:r>
      <w:r>
        <w:t>ni indikatori buke su:</w:t>
      </w:r>
    </w:p>
    <w:p w:rsidR="00000000" w:rsidRDefault="00B1585F">
      <w:pPr>
        <w:pStyle w:val="T30X"/>
        <w:ind w:left="567" w:hanging="283"/>
      </w:pPr>
      <w:r>
        <w:t xml:space="preserve">   1) indikator buke za dan, L</w:t>
      </w:r>
      <w:r>
        <w:rPr>
          <w:vertAlign w:val="subscript"/>
        </w:rPr>
        <w:t>day</w:t>
      </w:r>
      <w:r>
        <w:t>, koji opisuje uznemiravanje bukom u životnoj sredini u toku dana;</w:t>
      </w:r>
    </w:p>
    <w:p w:rsidR="00000000" w:rsidRDefault="00B1585F">
      <w:pPr>
        <w:pStyle w:val="T30X"/>
        <w:ind w:left="567" w:hanging="283"/>
      </w:pPr>
      <w:r>
        <w:t xml:space="preserve">   2) indikator buke za ve</w:t>
      </w:r>
      <w:r>
        <w:t>č</w:t>
      </w:r>
      <w:r>
        <w:t>e, L</w:t>
      </w:r>
      <w:r>
        <w:rPr>
          <w:vertAlign w:val="subscript"/>
        </w:rPr>
        <w:t>evening</w:t>
      </w:r>
      <w:r>
        <w:t>, koji opisuje uznemiravanje bukom u životnoj sredini u toku ve</w:t>
      </w:r>
      <w:r>
        <w:t>č</w:t>
      </w:r>
      <w:r>
        <w:t>eri.</w:t>
      </w:r>
    </w:p>
    <w:p w:rsidR="00000000" w:rsidRDefault="00B1585F">
      <w:pPr>
        <w:pStyle w:val="T30X"/>
      </w:pPr>
      <w:r>
        <w:t xml:space="preserve">Period od </w:t>
      </w:r>
      <w:r>
        <w:t xml:space="preserve">24 </w:t>
      </w:r>
      <w:r>
        <w:t>č</w:t>
      </w:r>
      <w:r>
        <w:t xml:space="preserve">asa se dijeli na tri referentna vremenska intervala: dan (od 7 do 19 </w:t>
      </w:r>
      <w:r>
        <w:t>č</w:t>
      </w:r>
      <w:r>
        <w:t>asova), ve</w:t>
      </w:r>
      <w:r>
        <w:t>č</w:t>
      </w:r>
      <w:r>
        <w:t xml:space="preserve">e (od 19 do 23 </w:t>
      </w:r>
      <w:r>
        <w:t>č</w:t>
      </w:r>
      <w:r>
        <w:t>asa) i no</w:t>
      </w:r>
      <w:r>
        <w:t>ć</w:t>
      </w:r>
      <w:r>
        <w:t xml:space="preserve"> (od 23 do 7 </w:t>
      </w:r>
      <w:r>
        <w:t>č</w:t>
      </w:r>
      <w:r>
        <w:t>asova).</w:t>
      </w:r>
    </w:p>
    <w:p w:rsidR="00000000" w:rsidRDefault="00B1585F">
      <w:pPr>
        <w:pStyle w:val="T30X"/>
      </w:pPr>
      <w:r>
        <w:t>Trajanje referentnog vremenskog intervala za ocjenu osnovnih i pomo</w:t>
      </w:r>
      <w:r>
        <w:t>ć</w:t>
      </w:r>
      <w:r>
        <w:t>nih indikatora buke iznosi 12 sati za referentni vremen</w:t>
      </w:r>
      <w:r>
        <w:t xml:space="preserve">ski interval dan, </w:t>
      </w:r>
      <w:r>
        <w:t>č</w:t>
      </w:r>
      <w:r>
        <w:t>etiri sata za referentni vremenski interval ve</w:t>
      </w:r>
      <w:r>
        <w:t>č</w:t>
      </w:r>
      <w:r>
        <w:t>e i osam sati za referentni vremenski interval no</w:t>
      </w:r>
      <w:r>
        <w:t>ć</w:t>
      </w:r>
      <w:r>
        <w:t>.</w:t>
      </w:r>
    </w:p>
    <w:p w:rsidR="00000000" w:rsidRDefault="00B1585F">
      <w:pPr>
        <w:pStyle w:val="C30X"/>
      </w:pPr>
      <w:r>
        <w:t>Č</w:t>
      </w:r>
      <w:r>
        <w:t>lan 4</w:t>
      </w:r>
    </w:p>
    <w:p w:rsidR="00000000" w:rsidRDefault="00B1585F">
      <w:pPr>
        <w:pStyle w:val="T30X"/>
      </w:pPr>
      <w:r>
        <w:t>Dodatni indikatori buke su mjerodavni ekvivalentni kontinualni nivo zvu</w:t>
      </w:r>
      <w:r>
        <w:t>č</w:t>
      </w:r>
      <w:r>
        <w:t>nog pritiska LReq,T (u daljem tekstu: mjerodavni nivo buke)</w:t>
      </w:r>
      <w:r>
        <w:t xml:space="preserve"> i maksimalni vremenski i frekvencijski ponderisani nivo zvu</w:t>
      </w:r>
      <w:r>
        <w:t>č</w:t>
      </w:r>
      <w:r>
        <w:t>nog pritiska LAFmax (u daljem tekstu: maksimalni nivo buke).</w:t>
      </w:r>
    </w:p>
    <w:p w:rsidR="00000000" w:rsidRDefault="00B1585F">
      <w:pPr>
        <w:pStyle w:val="T30X"/>
      </w:pPr>
      <w:r>
        <w:t>Trajanje referentnog vremenskog intervala za ocjenu mjerodavnog nivoa buke iznosi jedan najbu</w:t>
      </w:r>
      <w:r>
        <w:t>č</w:t>
      </w:r>
      <w:r>
        <w:t>niji sat u toku dana i ve</w:t>
      </w:r>
      <w:r>
        <w:t>č</w:t>
      </w:r>
      <w:r>
        <w:t>eri (od 7 do 2</w:t>
      </w:r>
      <w:r>
        <w:t xml:space="preserve">3 </w:t>
      </w:r>
      <w:r>
        <w:t>č</w:t>
      </w:r>
      <w:r>
        <w:t>asova), odnosno u toku no</w:t>
      </w:r>
      <w:r>
        <w:t>ć</w:t>
      </w:r>
      <w:r>
        <w:t xml:space="preserve">i (od 23 do 7 </w:t>
      </w:r>
      <w:r>
        <w:t>č</w:t>
      </w:r>
      <w:r>
        <w:t>asova).</w:t>
      </w:r>
    </w:p>
    <w:p w:rsidR="00000000" w:rsidRDefault="00B1585F">
      <w:pPr>
        <w:pStyle w:val="C30X"/>
      </w:pPr>
      <w:r>
        <w:t>Č</w:t>
      </w:r>
      <w:r>
        <w:t>lan 5</w:t>
      </w:r>
    </w:p>
    <w:p w:rsidR="00000000" w:rsidRDefault="00B1585F">
      <w:pPr>
        <w:pStyle w:val="T30X"/>
      </w:pPr>
      <w:r>
        <w:lastRenderedPageBreak/>
        <w:t>Metode izra</w:t>
      </w:r>
      <w:r>
        <w:t>č</w:t>
      </w:r>
      <w:r>
        <w:t>unavanja nivoa buke za utvr</w:t>
      </w:r>
      <w:r>
        <w:t>đ</w:t>
      </w:r>
      <w:r>
        <w:t>ivanje, procjenu ili predvi</w:t>
      </w:r>
      <w:r>
        <w:t>đ</w:t>
      </w:r>
      <w:r>
        <w:t>anje vrijednosti indikatora nivoa buke u životnoj sredini date su u Prilogu 2.</w:t>
      </w:r>
    </w:p>
    <w:p w:rsidR="00000000" w:rsidRDefault="00B1585F">
      <w:pPr>
        <w:pStyle w:val="C30X"/>
      </w:pPr>
      <w:r>
        <w:t>Č</w:t>
      </w:r>
      <w:r>
        <w:t>lan 6</w:t>
      </w:r>
    </w:p>
    <w:p w:rsidR="00000000" w:rsidRDefault="00B1585F">
      <w:pPr>
        <w:pStyle w:val="T30X"/>
      </w:pPr>
      <w:r>
        <w:t>Mjerenje i ocjenjivanje buke u životnoj sredini (u daljem tekstu: mjerenje buke) vrši se u skladu sa ovim pravilnikom i standardima MEST ISO 1996-1 i MEST ISO 1996-2.</w:t>
      </w:r>
    </w:p>
    <w:p w:rsidR="00000000" w:rsidRDefault="00B1585F">
      <w:pPr>
        <w:pStyle w:val="C30X"/>
      </w:pPr>
      <w:r>
        <w:t>Č</w:t>
      </w:r>
      <w:r>
        <w:t>lan 7</w:t>
      </w:r>
    </w:p>
    <w:p w:rsidR="00000000" w:rsidRDefault="00B1585F">
      <w:pPr>
        <w:pStyle w:val="T30X"/>
      </w:pPr>
      <w:r>
        <w:t>Sadržaj izvještaja o izvršenom mjerenju i ocjenjivanju buke u životnoj sredini dat</w:t>
      </w:r>
      <w:r>
        <w:t xml:space="preserve"> je u Prilogu 3.</w:t>
      </w:r>
    </w:p>
    <w:p w:rsidR="00000000" w:rsidRDefault="00B1585F">
      <w:pPr>
        <w:pStyle w:val="C30X"/>
      </w:pPr>
      <w:r>
        <w:t>Č</w:t>
      </w:r>
      <w:r>
        <w:t>lan 8</w:t>
      </w:r>
    </w:p>
    <w:p w:rsidR="00000000" w:rsidRDefault="00B1585F">
      <w:pPr>
        <w:pStyle w:val="T30X"/>
      </w:pPr>
      <w:r>
        <w:t xml:space="preserve">Prilozi 1, 2 i 3 </w:t>
      </w:r>
      <w:r>
        <w:t>č</w:t>
      </w:r>
      <w:r>
        <w:t>ine sastavni dio ovog pravilnika.</w:t>
      </w:r>
    </w:p>
    <w:p w:rsidR="00000000" w:rsidRDefault="00B1585F">
      <w:pPr>
        <w:pStyle w:val="T30X"/>
      </w:pPr>
      <w:r>
        <w:t xml:space="preserve">Prilozi iz stava 1 ovog </w:t>
      </w:r>
      <w:r>
        <w:t>č</w:t>
      </w:r>
      <w:r>
        <w:t>lana objavi</w:t>
      </w:r>
      <w:r>
        <w:t>ć</w:t>
      </w:r>
      <w:r>
        <w:t>e se samo u elektronskom izdanju "Službenog lista Crne Gore".</w:t>
      </w:r>
    </w:p>
    <w:p w:rsidR="00000000" w:rsidRDefault="00B1585F">
      <w:pPr>
        <w:pStyle w:val="C30X"/>
      </w:pPr>
      <w:r>
        <w:t>Č</w:t>
      </w:r>
      <w:r>
        <w:t>lan 9</w:t>
      </w:r>
    </w:p>
    <w:p w:rsidR="00000000" w:rsidRDefault="00B1585F">
      <w:pPr>
        <w:pStyle w:val="T30X"/>
      </w:pPr>
      <w:r>
        <w:t>Danom stupanja na snagu ovog pravilnika prestaje da važi Pravilnik o metod</w:t>
      </w:r>
      <w:r>
        <w:t>ama izra</w:t>
      </w:r>
      <w:r>
        <w:t>č</w:t>
      </w:r>
      <w:r>
        <w:t>unavanja i mjerenja nivoa buke u životnoj sredini ("Službeni list CG", br. 27/14, 17/17 i 120/23).</w:t>
      </w:r>
    </w:p>
    <w:p w:rsidR="00000000" w:rsidRDefault="00B1585F">
      <w:pPr>
        <w:pStyle w:val="C30X"/>
      </w:pPr>
      <w:r>
        <w:t>Č</w:t>
      </w:r>
      <w:r>
        <w:t>lan 10</w:t>
      </w:r>
    </w:p>
    <w:p w:rsidR="00000000" w:rsidRDefault="00B1585F">
      <w:pPr>
        <w:pStyle w:val="T30X"/>
      </w:pPr>
      <w:r>
        <w:t>Ovaj pravilnik stupa na snagu osmog dana od dana objavljivanja u "Službenom listu Crne Gore".</w:t>
      </w:r>
    </w:p>
    <w:p w:rsidR="00000000" w:rsidRDefault="00B1585F">
      <w:pPr>
        <w:pStyle w:val="N01Z"/>
      </w:pPr>
      <w:r>
        <w:t>Broj: 04122-322/26-51/28</w:t>
      </w:r>
    </w:p>
    <w:p w:rsidR="00000000" w:rsidRDefault="00B1585F">
      <w:pPr>
        <w:pStyle w:val="N01Z"/>
      </w:pPr>
      <w:r>
        <w:t>Podgorica, 14. avgust</w:t>
      </w:r>
      <w:r>
        <w:t>a 2026. godine</w:t>
      </w:r>
    </w:p>
    <w:p w:rsidR="00000000" w:rsidRDefault="00B1585F">
      <w:pPr>
        <w:pStyle w:val="N01Z"/>
      </w:pPr>
      <w:r>
        <w:t>Ministar,</w:t>
      </w:r>
    </w:p>
    <w:p w:rsidR="00000000" w:rsidRDefault="00B1585F">
      <w:pPr>
        <w:pStyle w:val="N01Z"/>
      </w:pPr>
      <w:r>
        <w:t xml:space="preserve">Damjan </w:t>
      </w:r>
      <w:r>
        <w:t>Ć</w:t>
      </w:r>
      <w:r>
        <w:t>ulafi</w:t>
      </w:r>
      <w:r>
        <w:t>ć</w:t>
      </w:r>
      <w:r>
        <w:t>, s.r.</w:t>
      </w:r>
    </w:p>
    <w:p w:rsidR="00000000" w:rsidRDefault="00B1585F">
      <w:pPr>
        <w:pStyle w:val="FSNT"/>
      </w:pPr>
      <w:r>
        <w:t>___________________________</w:t>
      </w:r>
    </w:p>
    <w:p w:rsidR="00000000" w:rsidRDefault="00B1585F">
      <w:pPr>
        <w:pStyle w:val="FSNT"/>
      </w:pPr>
      <w:r>
        <w:rPr>
          <w:rFonts w:ascii="Cambria Math" w:hAnsi="Cambria Math" w:cs="Cambria Math"/>
        </w:rPr>
        <w:t>∗</w:t>
      </w:r>
      <w:r>
        <w:t>U ovaj pravilnik prenijeta je Direktiva 2002/49/EZ Evropskog parlamenta i Savjeta od 25. juna 2002. godine o procjeni i upravljanju bukom u životnoj sredini / Directive 2002/49/EC o</w:t>
      </w:r>
      <w:r>
        <w:t>f the European Parliament and of the Council of 25 June 2002 relating to the assessment and management of environmental noise (consolidated text) - 02002L0049-20210729.</w:t>
      </w:r>
    </w:p>
    <w:p w:rsidR="00000000" w:rsidRDefault="00B1585F">
      <w:pPr>
        <w:pStyle w:val="ODRX"/>
      </w:pPr>
      <w:r>
        <w:t>NAPOMENA IZDAVA</w:t>
      </w:r>
      <w:r>
        <w:t>Č</w:t>
      </w:r>
      <w:r>
        <w:t>A:</w:t>
      </w:r>
    </w:p>
    <w:p w:rsidR="00B1585F" w:rsidRDefault="00B1585F">
      <w:pPr>
        <w:pStyle w:val="T30X"/>
        <w:ind w:left="-283"/>
      </w:pPr>
      <w:r>
        <w:t>Priloge koji su sastavni dio ovog propisa možete pogledati ovdje.</w:t>
      </w:r>
    </w:p>
    <w:sectPr w:rsidR="00B1585F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850" w:right="850" w:bottom="850" w:left="850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585F" w:rsidRDefault="00B1585F">
      <w:r>
        <w:separator/>
      </w:r>
    </w:p>
  </w:endnote>
  <w:endnote w:type="continuationSeparator" w:id="0">
    <w:p w:rsidR="00B1585F" w:rsidRDefault="00B15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00000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B1585F">
          <w:pPr>
            <w:pStyle w:val="Fotter"/>
          </w:pPr>
          <w:hyperlink w:anchor="http___www_katalogpropisa_me" w:history="1">
            <w:r>
              <w:rPr>
                <w:rStyle w:val="Hyperlink"/>
              </w:rPr>
              <w:t>Pravni ekspert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B1585F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>
            <w:t>&lt; Please update this field. &gt;</w:t>
          </w:r>
          <w: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00000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B1585F">
          <w:pPr>
            <w:pStyle w:val="Fotter"/>
          </w:pPr>
          <w:hyperlink w:anchor="http___www_katalogpropisa_me" w:history="1">
            <w:r>
              <w:rPr>
                <w:rStyle w:val="Hyperlink"/>
              </w:rPr>
              <w:t>Pravni ekspert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B1585F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>
            <w:t>&lt; Please update this field. &gt;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585F" w:rsidRDefault="00B1585F">
      <w:r>
        <w:separator/>
      </w:r>
    </w:p>
  </w:footnote>
  <w:footnote w:type="continuationSeparator" w:id="0">
    <w:p w:rsidR="00B1585F" w:rsidRDefault="00B158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B1585F">
    <w:pPr>
      <w:pStyle w:val="Header"/>
    </w:pPr>
    <w:r>
      <w:t>Katalog propisa 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B1585F">
    <w:pPr>
      <w:pStyle w:val="Header"/>
    </w:pPr>
    <w:r>
      <w:t>Katalog propisa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D70"/>
    <w:rsid w:val="00855D70"/>
    <w:rsid w:val="00B1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54D6B29-5F5B-4E2C-8E72-B9AC5F112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99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</w:style>
  <w:style w:type="paragraph" w:customStyle="1" w:styleId="Heading1">
    <w:name w:val="Heading1"/>
    <w:basedOn w:val="Normal"/>
    <w:uiPriority w:val="99"/>
    <w:pPr>
      <w:outlineLvl w:val="0"/>
    </w:pPr>
  </w:style>
  <w:style w:type="paragraph" w:customStyle="1" w:styleId="Heading2">
    <w:name w:val="Heading2"/>
    <w:basedOn w:val="Heading1"/>
    <w:uiPriority w:val="99"/>
    <w:pPr>
      <w:outlineLvl w:val="1"/>
    </w:pPr>
  </w:style>
  <w:style w:type="paragraph" w:customStyle="1" w:styleId="Heading3">
    <w:name w:val="Heading3"/>
    <w:basedOn w:val="Heading2"/>
    <w:uiPriority w:val="99"/>
    <w:pPr>
      <w:outlineLvl w:val="2"/>
    </w:pPr>
  </w:style>
  <w:style w:type="paragraph" w:customStyle="1" w:styleId="Heading4">
    <w:name w:val="Heading4"/>
    <w:basedOn w:val="Heading3"/>
    <w:uiPriority w:val="99"/>
    <w:pPr>
      <w:outlineLvl w:val="3"/>
    </w:pPr>
  </w:style>
  <w:style w:type="paragraph" w:customStyle="1" w:styleId="Heading5">
    <w:name w:val="Heading5"/>
    <w:basedOn w:val="Heading4"/>
    <w:uiPriority w:val="99"/>
    <w:pPr>
      <w:outlineLvl w:val="4"/>
    </w:pPr>
  </w:style>
  <w:style w:type="paragraph" w:customStyle="1" w:styleId="Heading6">
    <w:name w:val="Heading6"/>
    <w:basedOn w:val="Heading5"/>
    <w:uiPriority w:val="99"/>
    <w:pPr>
      <w:outlineLvl w:val="5"/>
    </w:pPr>
  </w:style>
  <w:style w:type="paragraph" w:customStyle="1" w:styleId="Heading7">
    <w:name w:val="Heading7"/>
    <w:basedOn w:val="Heading6"/>
    <w:uiPriority w:val="99"/>
    <w:pPr>
      <w:outlineLvl w:val="6"/>
    </w:pPr>
  </w:style>
  <w:style w:type="paragraph" w:customStyle="1" w:styleId="Heading8">
    <w:name w:val="Heading8"/>
    <w:basedOn w:val="Heading7"/>
    <w:uiPriority w:val="99"/>
    <w:pPr>
      <w:outlineLvl w:val="7"/>
    </w:pPr>
  </w:style>
  <w:style w:type="paragraph" w:customStyle="1" w:styleId="Heading9">
    <w:name w:val="Heading9"/>
    <w:basedOn w:val="Heading8"/>
    <w:uiPriority w:val="99"/>
    <w:pPr>
      <w:outlineLvl w:val="8"/>
    </w:pPr>
  </w:style>
  <w:style w:type="paragraph" w:styleId="List">
    <w:name w:val="List"/>
    <w:basedOn w:val="Normal"/>
    <w:uiPriority w:val="99"/>
  </w:style>
  <w:style w:type="paragraph" w:customStyle="1" w:styleId="Footnote">
    <w:name w:val="Footnote"/>
    <w:basedOn w:val="Normal"/>
    <w:uiPriority w:val="99"/>
  </w:style>
  <w:style w:type="paragraph" w:styleId="Header">
    <w:name w:val="header"/>
    <w:basedOn w:val="Normal"/>
    <w:link w:val="HeaderChar"/>
    <w:uiPriority w:val="9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Times New Roman" w:hAnsi="Times New Roman" w:cs="Times New Roman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Times New Roman" w:hAnsi="Times New Roman" w:cs="Times New Roman"/>
      <w:color w:val="000000"/>
      <w:sz w:val="20"/>
      <w:szCs w:val="20"/>
    </w:rPr>
  </w:style>
  <w:style w:type="character" w:styleId="Hyperlink">
    <w:name w:val="Hyperlink"/>
    <w:basedOn w:val="DefaultParagraphFont0"/>
    <w:uiPriority w:val="99"/>
  </w:style>
  <w:style w:type="paragraph" w:customStyle="1" w:styleId="InvalidStyleName">
    <w:name w:val="InvalidStyleName"/>
    <w:basedOn w:val="Normal"/>
    <w:uiPriority w:val="9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pPr>
      <w:spacing w:before="140" w:after="140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</vt:lpstr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</dc:title>
  <dc:subject></dc:subject>
  <dc:creator></dc:creator>
  <cp:keywords/>
  <dc:description/>
  <cp:lastModifiedBy>Tamara Djurovic</cp:lastModifiedBy>
  <cp:revision>2</cp:revision>
  <dcterms:created xsi:type="dcterms:W3CDTF">2026-08-26T22:57:00Z</dcterms:created>
  <dcterms:modified xsi:type="dcterms:W3CDTF">2026-08-26T22:57:00Z</dcterms:modified>
</cp:coreProperties>
</file>