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0000" w:rsidRDefault="00AF645A">
      <w:pPr>
        <w:pStyle w:val="N01Y"/>
      </w:pPr>
      <w:bookmarkStart w:id="0" w:name="_GoBack"/>
      <w:bookmarkEnd w:id="0"/>
      <w:r>
        <w:t>2198.</w:t>
      </w:r>
    </w:p>
    <w:p w:rsidR="00000000" w:rsidRDefault="00AF645A">
      <w:pPr>
        <w:pStyle w:val="N02Y"/>
      </w:pPr>
      <w:r>
        <w:t xml:space="preserve">Na osnovu </w:t>
      </w:r>
      <w:r>
        <w:t>č</w:t>
      </w:r>
      <w:r>
        <w:t>lana 10 stav 4 Zakona o zaštiti od buke u životnoj sredini ("Službeni list CG", broj 11</w:t>
      </w:r>
      <w:r>
        <w:t>7/26) Ministarstvo ekologije, održivog razvoja i razvoja sjevera donijelo je</w:t>
      </w:r>
    </w:p>
    <w:p w:rsidR="00000000" w:rsidRDefault="00AF645A">
      <w:pPr>
        <w:pStyle w:val="N03Y"/>
      </w:pPr>
      <w:r>
        <w:t>PRAVILNIK</w:t>
      </w:r>
    </w:p>
    <w:p w:rsidR="00000000" w:rsidRDefault="00AF645A">
      <w:pPr>
        <w:pStyle w:val="N03Y"/>
      </w:pPr>
      <w:r>
        <w:t>O GRANI</w:t>
      </w:r>
      <w:r>
        <w:t>Č</w:t>
      </w:r>
      <w:r>
        <w:t>NIM VRIJEDNOSTIMA INDIKATORA BUKE U ŽIVOTNOJ SREDINI, NA</w:t>
      </w:r>
      <w:r>
        <w:t>Č</w:t>
      </w:r>
      <w:r>
        <w:t>INU UTVR</w:t>
      </w:r>
      <w:r>
        <w:t>Đ</w:t>
      </w:r>
      <w:r>
        <w:t>IVANJA AKUSTI</w:t>
      </w:r>
      <w:r>
        <w:t>Č</w:t>
      </w:r>
      <w:r>
        <w:t>KIH ZONA I METODAMA OCJENJIVANJA ŠTETNIH EFEKATA BUKE</w:t>
      </w:r>
      <w:r>
        <w:rPr>
          <w:rFonts w:ascii="Cambria Math" w:hAnsi="Cambria Math" w:cs="Cambria Math"/>
        </w:rPr>
        <w:t>∗</w:t>
      </w:r>
    </w:p>
    <w:p w:rsidR="00000000" w:rsidRDefault="00AF645A">
      <w:pPr>
        <w:pStyle w:val="N05Y"/>
      </w:pPr>
      <w:r>
        <w:t>("Službeni list Crne Gore", br. 124/26 od 21.08.2026)</w:t>
      </w:r>
    </w:p>
    <w:p w:rsidR="00000000" w:rsidRDefault="00AF645A">
      <w:pPr>
        <w:pStyle w:val="N01X"/>
      </w:pPr>
      <w:r>
        <w:t>Predmet</w:t>
      </w:r>
    </w:p>
    <w:p w:rsidR="00000000" w:rsidRDefault="00AF645A">
      <w:pPr>
        <w:pStyle w:val="C30X"/>
      </w:pPr>
      <w:r>
        <w:t>Č</w:t>
      </w:r>
      <w:r>
        <w:t>lan 1</w:t>
      </w:r>
    </w:p>
    <w:p w:rsidR="00000000" w:rsidRDefault="00AF645A">
      <w:pPr>
        <w:pStyle w:val="T30X"/>
      </w:pPr>
      <w:r>
        <w:t>Ovim pravilnikom propisuju se grani</w:t>
      </w:r>
      <w:r>
        <w:t>č</w:t>
      </w:r>
      <w:r>
        <w:t>ne vrijednosti indikatora buke u životnoj sredini, na</w:t>
      </w:r>
      <w:r>
        <w:t>č</w:t>
      </w:r>
      <w:r>
        <w:t>in utvr</w:t>
      </w:r>
      <w:r>
        <w:t>đ</w:t>
      </w:r>
      <w:r>
        <w:t>ivanja akusti</w:t>
      </w:r>
      <w:r>
        <w:t>č</w:t>
      </w:r>
      <w:r>
        <w:t>kih zona u skladu sa namjenom otvorenih prostora, kao i metode ocjenjivanja</w:t>
      </w:r>
      <w:r>
        <w:t xml:space="preserve"> štetnih efekata buke.</w:t>
      </w:r>
    </w:p>
    <w:p w:rsidR="00000000" w:rsidRDefault="00AF645A">
      <w:pPr>
        <w:pStyle w:val="N01X"/>
      </w:pPr>
      <w:r>
        <w:t>Zna</w:t>
      </w:r>
      <w:r>
        <w:t>č</w:t>
      </w:r>
      <w:r>
        <w:t>enje izraza</w:t>
      </w:r>
    </w:p>
    <w:p w:rsidR="00000000" w:rsidRDefault="00AF645A">
      <w:pPr>
        <w:pStyle w:val="C30X"/>
      </w:pPr>
      <w:r>
        <w:t>Č</w:t>
      </w:r>
      <w:r>
        <w:t>lan 2</w:t>
      </w:r>
    </w:p>
    <w:p w:rsidR="00000000" w:rsidRDefault="00AF645A">
      <w:pPr>
        <w:pStyle w:val="T30X"/>
      </w:pPr>
      <w:r>
        <w:t>Izrazi upotrijebljeni u ovom pravilniku imaju sljede</w:t>
      </w:r>
      <w:r>
        <w:t>ć</w:t>
      </w:r>
      <w:r>
        <w:t>a zna</w:t>
      </w:r>
      <w:r>
        <w:t>č</w:t>
      </w:r>
      <w:r>
        <w:t>enja:</w:t>
      </w:r>
    </w:p>
    <w:p w:rsidR="00000000" w:rsidRDefault="00AF645A">
      <w:pPr>
        <w:pStyle w:val="T30X"/>
        <w:ind w:left="567" w:hanging="283"/>
      </w:pPr>
      <w:r>
        <w:t xml:space="preserve">   1) izvor buke privremenog karaktera je emiter nepoželjnog ili štetnog zvuka, </w:t>
      </w:r>
      <w:r>
        <w:t>č</w:t>
      </w:r>
      <w:r>
        <w:t>ije je djelovanje vezano za povremene aktivnosti ograni</w:t>
      </w:r>
      <w:r>
        <w:t>č</w:t>
      </w:r>
      <w:r>
        <w:t>enog tra</w:t>
      </w:r>
      <w:r>
        <w:t>janja i koje ne predstavljaju djelatnost koja je planirana za obavljanje u skladu sa namjenom prostora na kojem se te aktivnosti vrše;</w:t>
      </w:r>
    </w:p>
    <w:p w:rsidR="00000000" w:rsidRDefault="00AF645A">
      <w:pPr>
        <w:pStyle w:val="T30X"/>
        <w:ind w:left="567" w:hanging="283"/>
      </w:pPr>
      <w:r>
        <w:t xml:space="preserve">   2) novi izvor buke je izvor buke koji se po prvi put stavlja u upotrebu i/ili izvor buke koji nastaje nakon rekonstruk</w:t>
      </w:r>
      <w:r>
        <w:t>cije objekta ili zamjene tehni</w:t>
      </w:r>
      <w:r>
        <w:t>č</w:t>
      </w:r>
      <w:r>
        <w:t>kih kapaciteta;</w:t>
      </w:r>
    </w:p>
    <w:p w:rsidR="00000000" w:rsidRDefault="00AF645A">
      <w:pPr>
        <w:pStyle w:val="T30X"/>
        <w:ind w:left="567" w:hanging="283"/>
      </w:pPr>
      <w:r>
        <w:t xml:space="preserve">   3) po</w:t>
      </w:r>
      <w:r>
        <w:t>č</w:t>
      </w:r>
      <w:r>
        <w:t>etna buka je ukupna buka prisutna u po</w:t>
      </w:r>
      <w:r>
        <w:t>č</w:t>
      </w:r>
      <w:r>
        <w:t>etnoj situaciji, prije nego što do</w:t>
      </w:r>
      <w:r>
        <w:t>đ</w:t>
      </w:r>
      <w:r>
        <w:t>e do promjene postoje</w:t>
      </w:r>
      <w:r>
        <w:t>ć</w:t>
      </w:r>
      <w:r>
        <w:t>e situacije;</w:t>
      </w:r>
    </w:p>
    <w:p w:rsidR="00000000" w:rsidRDefault="00AF645A">
      <w:pPr>
        <w:pStyle w:val="T30X"/>
        <w:ind w:left="567" w:hanging="283"/>
      </w:pPr>
      <w:r>
        <w:t xml:space="preserve">   4) rezidualna buka je buka koja ostaje na datom mjestu, u datoj situaciji, onda kada se </w:t>
      </w:r>
      <w:r>
        <w:t>ne uzimaju u obzir razmatrani izvori specifi</w:t>
      </w:r>
      <w:r>
        <w:t>č</w:t>
      </w:r>
      <w:r>
        <w:t>ne buke;</w:t>
      </w:r>
    </w:p>
    <w:p w:rsidR="00000000" w:rsidRDefault="00AF645A">
      <w:pPr>
        <w:pStyle w:val="T30X"/>
        <w:ind w:left="567" w:hanging="283"/>
      </w:pPr>
      <w:r>
        <w:t xml:space="preserve">   5) specifi</w:t>
      </w:r>
      <w:r>
        <w:t>č</w:t>
      </w:r>
      <w:r>
        <w:t>na buka je komponenta ukupne buke koja se može posebno identifikovati i koja je povezana sa specifi</w:t>
      </w:r>
      <w:r>
        <w:t>č</w:t>
      </w:r>
      <w:r>
        <w:t>nim izvorom buke;</w:t>
      </w:r>
    </w:p>
    <w:p w:rsidR="00000000" w:rsidRDefault="00AF645A">
      <w:pPr>
        <w:pStyle w:val="T30X"/>
        <w:ind w:left="567" w:hanging="283"/>
      </w:pPr>
      <w:r>
        <w:t xml:space="preserve">   6) specifi</w:t>
      </w:r>
      <w:r>
        <w:t>č</w:t>
      </w:r>
      <w:r>
        <w:t xml:space="preserve">ni izvor buke je izvor buke </w:t>
      </w:r>
      <w:r>
        <w:t>č</w:t>
      </w:r>
      <w:r>
        <w:t>iji se uticaj na životnu sr</w:t>
      </w:r>
      <w:r>
        <w:t>edinu razmatra u datoj situaciji i datom vremenu;</w:t>
      </w:r>
    </w:p>
    <w:p w:rsidR="00000000" w:rsidRDefault="00AF645A">
      <w:pPr>
        <w:pStyle w:val="T30X"/>
        <w:ind w:left="567" w:hanging="283"/>
      </w:pPr>
      <w:r>
        <w:t xml:space="preserve">   7) ukupna buka je buka koja obuhvata sve uticaje razli</w:t>
      </w:r>
      <w:r>
        <w:t>č</w:t>
      </w:r>
      <w:r>
        <w:t>itih bliskih i dalekih izvora u datoj situaciji i datom vremenu.</w:t>
      </w:r>
    </w:p>
    <w:p w:rsidR="00000000" w:rsidRDefault="00AF645A">
      <w:pPr>
        <w:pStyle w:val="N01X"/>
      </w:pPr>
      <w:r>
        <w:t>Grani</w:t>
      </w:r>
      <w:r>
        <w:t>č</w:t>
      </w:r>
      <w:r>
        <w:t>ne vrijednosti indikatora buke u akusti</w:t>
      </w:r>
      <w:r>
        <w:t>č</w:t>
      </w:r>
      <w:r>
        <w:t>kim zonama</w:t>
      </w:r>
    </w:p>
    <w:p w:rsidR="00000000" w:rsidRDefault="00AF645A">
      <w:pPr>
        <w:pStyle w:val="C30X"/>
      </w:pPr>
      <w:r>
        <w:t>Č</w:t>
      </w:r>
      <w:r>
        <w:t>lan 3</w:t>
      </w:r>
    </w:p>
    <w:p w:rsidR="00000000" w:rsidRDefault="00AF645A">
      <w:pPr>
        <w:pStyle w:val="T30X"/>
      </w:pPr>
      <w:r>
        <w:t>Grani</w:t>
      </w:r>
      <w:r>
        <w:t>č</w:t>
      </w:r>
      <w:r>
        <w:t>ne vrijednost</w:t>
      </w:r>
      <w:r>
        <w:t>i indikatora buke u akusti</w:t>
      </w:r>
      <w:r>
        <w:t>č</w:t>
      </w:r>
      <w:r>
        <w:t>kim zonama propisanim ovim pravilnikom, date su u Prilogu 1.</w:t>
      </w:r>
    </w:p>
    <w:p w:rsidR="00000000" w:rsidRDefault="00AF645A">
      <w:pPr>
        <w:pStyle w:val="T30X"/>
      </w:pPr>
      <w:r>
        <w:t>Grani</w:t>
      </w:r>
      <w:r>
        <w:t>č</w:t>
      </w:r>
      <w:r>
        <w:t>ne vrijednosti date u tabeli Priloga 1 odnose se na nivo ukupne buke u akusti</w:t>
      </w:r>
      <w:r>
        <w:t>č</w:t>
      </w:r>
      <w:r>
        <w:t xml:space="preserve">kim zonama iz </w:t>
      </w:r>
      <w:r>
        <w:t>č</w:t>
      </w:r>
      <w:r>
        <w:t>lana 7 stav 1 ta</w:t>
      </w:r>
      <w:r>
        <w:t>č</w:t>
      </w:r>
      <w:r>
        <w:t>. 1 do 5 ovog pravilnika, odnosno na nivo specifi</w:t>
      </w:r>
      <w:r>
        <w:t>č</w:t>
      </w:r>
      <w:r>
        <w:t>ne</w:t>
      </w:r>
      <w:r>
        <w:t xml:space="preserve"> buke u akusti</w:t>
      </w:r>
      <w:r>
        <w:t>č</w:t>
      </w:r>
      <w:r>
        <w:t xml:space="preserve">koj zoni iz </w:t>
      </w:r>
      <w:r>
        <w:t>č</w:t>
      </w:r>
      <w:r>
        <w:t>lana 7 stav 1 ta</w:t>
      </w:r>
      <w:r>
        <w:t>č</w:t>
      </w:r>
      <w:r>
        <w:t>ka 6 ovog pravilnika.</w:t>
      </w:r>
    </w:p>
    <w:p w:rsidR="00000000" w:rsidRDefault="00AF645A">
      <w:pPr>
        <w:pStyle w:val="T30X"/>
      </w:pPr>
      <w:r>
        <w:t>Grani</w:t>
      </w:r>
      <w:r>
        <w:t>č</w:t>
      </w:r>
      <w:r>
        <w:t>ne vrijednosti date u tabeli Priloga 1 se odnose i na mjerodavni nivo buke za najbu</w:t>
      </w:r>
      <w:r>
        <w:t>č</w:t>
      </w:r>
      <w:r>
        <w:t>niji sat u toku dana i ve</w:t>
      </w:r>
      <w:r>
        <w:t>č</w:t>
      </w:r>
      <w:r>
        <w:t>eri, odnosno u toku no</w:t>
      </w:r>
      <w:r>
        <w:t>ć</w:t>
      </w:r>
      <w:r>
        <w:t>i.</w:t>
      </w:r>
    </w:p>
    <w:p w:rsidR="00000000" w:rsidRDefault="00AF645A">
      <w:pPr>
        <w:pStyle w:val="T30X"/>
      </w:pPr>
      <w:r>
        <w:t>U podru</w:t>
      </w:r>
      <w:r>
        <w:t>č</w:t>
      </w:r>
      <w:r>
        <w:t>jima razgrani</w:t>
      </w:r>
      <w:r>
        <w:t>č</w:t>
      </w:r>
      <w:r>
        <w:t>enja akusti</w:t>
      </w:r>
      <w:r>
        <w:t>č</w:t>
      </w:r>
      <w:r>
        <w:t>kih zona, vri</w:t>
      </w:r>
      <w:r>
        <w:t>jednost indikatora buke u svakoj akusti</w:t>
      </w:r>
      <w:r>
        <w:t>č</w:t>
      </w:r>
      <w:r>
        <w:t>koj zoni ne može prelaziti najnižu grani</w:t>
      </w:r>
      <w:r>
        <w:t>č</w:t>
      </w:r>
      <w:r>
        <w:t>nu vrijednost propisanu za akusti</w:t>
      </w:r>
      <w:r>
        <w:t>č</w:t>
      </w:r>
      <w:r>
        <w:t>ku zonu sa kojom se grani</w:t>
      </w:r>
      <w:r>
        <w:t>č</w:t>
      </w:r>
      <w:r>
        <w:t>i.</w:t>
      </w:r>
    </w:p>
    <w:p w:rsidR="00000000" w:rsidRDefault="00AF645A">
      <w:pPr>
        <w:pStyle w:val="T30X"/>
      </w:pPr>
      <w:r>
        <w:t xml:space="preserve">Izuzetno od stava 1 ovog </w:t>
      </w:r>
      <w:r>
        <w:t>č</w:t>
      </w:r>
      <w:r>
        <w:t>lana, bez obzira na akusti</w:t>
      </w:r>
      <w:r>
        <w:t>č</w:t>
      </w:r>
      <w:r>
        <w:t>ku zonu i odgovaraju</w:t>
      </w:r>
      <w:r>
        <w:t>ć</w:t>
      </w:r>
      <w:r>
        <w:t>u grani</w:t>
      </w:r>
      <w:r>
        <w:t>č</w:t>
      </w:r>
      <w:r>
        <w:t>nu vrijednost, buka koja poti</w:t>
      </w:r>
      <w:r>
        <w:t>č</w:t>
      </w:r>
      <w:r>
        <w:t>e od gra</w:t>
      </w:r>
      <w:r>
        <w:t>đ</w:t>
      </w:r>
      <w:r>
        <w:t xml:space="preserve">evinskih radova na otvorenom prostoru, za </w:t>
      </w:r>
      <w:r>
        <w:t>č</w:t>
      </w:r>
      <w:r>
        <w:t>ije je izvo</w:t>
      </w:r>
      <w:r>
        <w:t>đ</w:t>
      </w:r>
      <w:r>
        <w:t>enje izdata dozvola nadležnog organa, može prekora</w:t>
      </w:r>
      <w:r>
        <w:t>č</w:t>
      </w:r>
      <w:r>
        <w:t>iti propisanu grani</w:t>
      </w:r>
      <w:r>
        <w:t>č</w:t>
      </w:r>
      <w:r>
        <w:t>nu vrijednost za 5 dB, u vremenu u kojem se mogu izvoditi gra</w:t>
      </w:r>
      <w:r>
        <w:t>đ</w:t>
      </w:r>
      <w:r>
        <w:t>evinski radovi u skladu sa zakonom.</w:t>
      </w:r>
    </w:p>
    <w:p w:rsidR="00000000" w:rsidRDefault="00AF645A">
      <w:pPr>
        <w:pStyle w:val="N01X"/>
      </w:pPr>
      <w:r>
        <w:t>Grani</w:t>
      </w:r>
      <w:r>
        <w:t>č</w:t>
      </w:r>
      <w:r>
        <w:t>ne vrijednosti in</w:t>
      </w:r>
      <w:r>
        <w:t>dikatora buke iz izvora privremenog karaktera</w:t>
      </w:r>
    </w:p>
    <w:p w:rsidR="00000000" w:rsidRDefault="00AF645A">
      <w:pPr>
        <w:pStyle w:val="C30X"/>
      </w:pPr>
      <w:r>
        <w:lastRenderedPageBreak/>
        <w:t>Č</w:t>
      </w:r>
      <w:r>
        <w:t>lan 4</w:t>
      </w:r>
    </w:p>
    <w:p w:rsidR="00000000" w:rsidRDefault="00AF645A">
      <w:pPr>
        <w:pStyle w:val="T30X"/>
      </w:pPr>
      <w:r>
        <w:t>Maksimalni nivo buke (LAFmax) prilikom upotrebe zvu</w:t>
      </w:r>
      <w:r>
        <w:t>č</w:t>
      </w:r>
      <w:r>
        <w:t>ne opreme za potrebe javnih okupljanja na otvorenom ne može pre</w:t>
      </w:r>
      <w:r>
        <w:t>ć</w:t>
      </w:r>
      <w:r>
        <w:t>i 120 dB mjereno na udaljenosti 4 m od izvora buke.</w:t>
      </w:r>
    </w:p>
    <w:p w:rsidR="00000000" w:rsidRDefault="00AF645A">
      <w:pPr>
        <w:pStyle w:val="T30X"/>
      </w:pPr>
      <w:r>
        <w:t xml:space="preserve">Maksimalni nivo buke (LAFmax) koji </w:t>
      </w:r>
      <w:r>
        <w:t>poti</w:t>
      </w:r>
      <w:r>
        <w:t>č</w:t>
      </w:r>
      <w:r>
        <w:t>e od upotrebe pirotehni</w:t>
      </w:r>
      <w:r>
        <w:t>č</w:t>
      </w:r>
      <w:r>
        <w:t>kih sredstava namijenjenih za spoljašnju upotrebu u ograni</w:t>
      </w:r>
      <w:r>
        <w:t>č</w:t>
      </w:r>
      <w:r>
        <w:t>enim prostorima, kao i za spoljašnju upotrebu na velikim otvorenim prostorima, ne može pre</w:t>
      </w:r>
      <w:r>
        <w:t>ć</w:t>
      </w:r>
      <w:r>
        <w:t>i 120 dB na sigurnoj udaljenosti.</w:t>
      </w:r>
    </w:p>
    <w:p w:rsidR="00000000" w:rsidRDefault="00AF645A">
      <w:pPr>
        <w:pStyle w:val="T30X"/>
      </w:pPr>
      <w:r>
        <w:t>Sigurna udaljenost za mjerenje buke koja poti</w:t>
      </w:r>
      <w:r>
        <w:t>č</w:t>
      </w:r>
      <w:r>
        <w:t>e od upotrebe pirotehni</w:t>
      </w:r>
      <w:r>
        <w:t>č</w:t>
      </w:r>
      <w:r>
        <w:t>kih sredstava namijenjenih za spoljašnju upotrebu u ograni</w:t>
      </w:r>
      <w:r>
        <w:t>č</w:t>
      </w:r>
      <w:r>
        <w:t>enim prostorima iznosi najmanje 8 m, a za upotrebu pirotehni</w:t>
      </w:r>
      <w:r>
        <w:t>č</w:t>
      </w:r>
      <w:r>
        <w:t>kih sredstava namijenjenih velikim otvorenim prostorima, iznosi na</w:t>
      </w:r>
      <w:r>
        <w:t>jmanje 15 m.</w:t>
      </w:r>
    </w:p>
    <w:p w:rsidR="00000000" w:rsidRDefault="00AF645A">
      <w:pPr>
        <w:pStyle w:val="N01X"/>
      </w:pPr>
      <w:r>
        <w:t>Novi i postoje</w:t>
      </w:r>
      <w:r>
        <w:t>ć</w:t>
      </w:r>
      <w:r>
        <w:t>i izvori buke</w:t>
      </w:r>
    </w:p>
    <w:p w:rsidR="00000000" w:rsidRDefault="00AF645A">
      <w:pPr>
        <w:pStyle w:val="C30X"/>
      </w:pPr>
      <w:r>
        <w:t>Č</w:t>
      </w:r>
      <w:r>
        <w:t>lan 5</w:t>
      </w:r>
    </w:p>
    <w:p w:rsidR="00000000" w:rsidRDefault="00AF645A">
      <w:pPr>
        <w:pStyle w:val="T30X"/>
      </w:pPr>
      <w:r>
        <w:t>Ako se u akusti</w:t>
      </w:r>
      <w:r>
        <w:t>č</w:t>
      </w:r>
      <w:r>
        <w:t>kim zonama na otvorenom prostoru pojavi novi izvor buke koji mijenja stanje postoje</w:t>
      </w:r>
      <w:r>
        <w:t>ć</w:t>
      </w:r>
      <w:r>
        <w:t>e buke, taj izvor buke ne može da uzrokuje prekora</w:t>
      </w:r>
      <w:r>
        <w:t>č</w:t>
      </w:r>
      <w:r>
        <w:t>enje grani</w:t>
      </w:r>
      <w:r>
        <w:t>č</w:t>
      </w:r>
      <w:r>
        <w:t>nih vrijednosti mjerodavnog nivoa buke, ako p</w:t>
      </w:r>
      <w:r>
        <w:t>rije rada tog izvora buke nijesu prekora</w:t>
      </w:r>
      <w:r>
        <w:t>č</w:t>
      </w:r>
      <w:r>
        <w:t>ene grani</w:t>
      </w:r>
      <w:r>
        <w:t>č</w:t>
      </w:r>
      <w:r>
        <w:t>ne vrijednosti indikatora buke, odnosno ne može da pove</w:t>
      </w:r>
      <w:r>
        <w:t>ć</w:t>
      </w:r>
      <w:r>
        <w:t>a mjerodavni nivo po</w:t>
      </w:r>
      <w:r>
        <w:t>č</w:t>
      </w:r>
      <w:r>
        <w:t>etne buke za više od 5 dB.</w:t>
      </w:r>
    </w:p>
    <w:p w:rsidR="00000000" w:rsidRDefault="00AF645A">
      <w:pPr>
        <w:pStyle w:val="T30X"/>
      </w:pPr>
      <w:r>
        <w:t>U slu</w:t>
      </w:r>
      <w:r>
        <w:t>č</w:t>
      </w:r>
      <w:r>
        <w:t>aju da su prije po</w:t>
      </w:r>
      <w:r>
        <w:t>č</w:t>
      </w:r>
      <w:r>
        <w:t>etka rada novog izvora buke bile prekora</w:t>
      </w:r>
      <w:r>
        <w:t>č</w:t>
      </w:r>
      <w:r>
        <w:t>ene grani</w:t>
      </w:r>
      <w:r>
        <w:t>č</w:t>
      </w:r>
      <w:r>
        <w:t>ne vrijednosti indikatora</w:t>
      </w:r>
      <w:r>
        <w:t xml:space="preserve"> buke, novi izvor buke ne može da pove</w:t>
      </w:r>
      <w:r>
        <w:t>ć</w:t>
      </w:r>
      <w:r>
        <w:t>a mjerodavni nivo ukupne buke na otvorenom prostoru.</w:t>
      </w:r>
    </w:p>
    <w:p w:rsidR="00000000" w:rsidRDefault="00AF645A">
      <w:pPr>
        <w:pStyle w:val="T30X"/>
      </w:pPr>
      <w:r>
        <w:t>U slu</w:t>
      </w:r>
      <w:r>
        <w:t>č</w:t>
      </w:r>
      <w:r>
        <w:t>aju da mjerodavni nivo rezidualne buke prekora</w:t>
      </w:r>
      <w:r>
        <w:t>č</w:t>
      </w:r>
      <w:r>
        <w:t>uje grani</w:t>
      </w:r>
      <w:r>
        <w:t>č</w:t>
      </w:r>
      <w:r>
        <w:t>ne vrijednosti indikatora buke, postoje</w:t>
      </w:r>
      <w:r>
        <w:t>ć</w:t>
      </w:r>
      <w:r>
        <w:t>i izvor buke ne može dodatno da pove</w:t>
      </w:r>
      <w:r>
        <w:t>ć</w:t>
      </w:r>
      <w:r>
        <w:t>a mjerodavni nivo ukupne</w:t>
      </w:r>
      <w:r>
        <w:t xml:space="preserve"> buke u akusti</w:t>
      </w:r>
      <w:r>
        <w:t>č</w:t>
      </w:r>
      <w:r>
        <w:t>kim zonama na otvorenom prostoru.</w:t>
      </w:r>
    </w:p>
    <w:p w:rsidR="00000000" w:rsidRDefault="00AF645A">
      <w:pPr>
        <w:pStyle w:val="N01X"/>
      </w:pPr>
      <w:r>
        <w:t>Akusti</w:t>
      </w:r>
      <w:r>
        <w:t>č</w:t>
      </w:r>
      <w:r>
        <w:t>ko zoniranje</w:t>
      </w:r>
    </w:p>
    <w:p w:rsidR="00000000" w:rsidRDefault="00AF645A">
      <w:pPr>
        <w:pStyle w:val="C30X"/>
      </w:pPr>
      <w:r>
        <w:t>Č</w:t>
      </w:r>
      <w:r>
        <w:t>lan 6</w:t>
      </w:r>
    </w:p>
    <w:p w:rsidR="00000000" w:rsidRDefault="00AF645A">
      <w:pPr>
        <w:pStyle w:val="T30X"/>
      </w:pPr>
      <w:r>
        <w:t>Utvr</w:t>
      </w:r>
      <w:r>
        <w:t>đ</w:t>
      </w:r>
      <w:r>
        <w:t>ivanje akusti</w:t>
      </w:r>
      <w:r>
        <w:t>č</w:t>
      </w:r>
      <w:r>
        <w:t>kih zona u odre</w:t>
      </w:r>
      <w:r>
        <w:t>đ</w:t>
      </w:r>
      <w:r>
        <w:t>enom prostoru u zavisnosti od namjene prostora (akusti</w:t>
      </w:r>
      <w:r>
        <w:t>č</w:t>
      </w:r>
      <w:r>
        <w:t>ko zoniranje), vrši se radi utvr</w:t>
      </w:r>
      <w:r>
        <w:t>đ</w:t>
      </w:r>
      <w:r>
        <w:t>ivanja grani</w:t>
      </w:r>
      <w:r>
        <w:t>č</w:t>
      </w:r>
      <w:r>
        <w:t>nih vrijednosti indikatora buke u tim zonama</w:t>
      </w:r>
      <w:r>
        <w:t>, odnosno radi zaštite zdravlja ljudi od buke u životnoj sredini.</w:t>
      </w:r>
    </w:p>
    <w:p w:rsidR="00000000" w:rsidRDefault="00AF645A">
      <w:pPr>
        <w:pStyle w:val="T30X"/>
      </w:pPr>
      <w:r>
        <w:t>Akusti</w:t>
      </w:r>
      <w:r>
        <w:t>č</w:t>
      </w:r>
      <w:r>
        <w:t>ko zoniranje vrši se za površinu naselja koje predstavlja prostorno-funkcionalnu cjelinu, ili više naselja prostorno-funkcionalno povezanih u cjelinu.</w:t>
      </w:r>
    </w:p>
    <w:p w:rsidR="00000000" w:rsidRDefault="00AF645A">
      <w:pPr>
        <w:pStyle w:val="T30X"/>
      </w:pPr>
      <w:r>
        <w:t>Akusti</w:t>
      </w:r>
      <w:r>
        <w:t>č</w:t>
      </w:r>
      <w:r>
        <w:t>ko zoniranje vrši se za p</w:t>
      </w:r>
      <w:r>
        <w:t>ovršine koje su planskim dokumentom svrstane u sljede</w:t>
      </w:r>
      <w:r>
        <w:t>ć</w:t>
      </w:r>
      <w:r>
        <w:t>e kategorije namjene površina:</w:t>
      </w:r>
    </w:p>
    <w:p w:rsidR="00000000" w:rsidRDefault="00AF645A">
      <w:pPr>
        <w:pStyle w:val="T30X"/>
        <w:ind w:left="567" w:hanging="283"/>
      </w:pPr>
      <w:r>
        <w:t xml:space="preserve">   1) površine naselja;</w:t>
      </w:r>
    </w:p>
    <w:p w:rsidR="00000000" w:rsidRDefault="00AF645A">
      <w:pPr>
        <w:pStyle w:val="T30X"/>
        <w:ind w:left="567" w:hanging="283"/>
      </w:pPr>
      <w:r>
        <w:t xml:space="preserve">   2) površine saobra</w:t>
      </w:r>
      <w:r>
        <w:t>ć</w:t>
      </w:r>
      <w:r>
        <w:t>ajne infrastrukture;</w:t>
      </w:r>
    </w:p>
    <w:p w:rsidR="00000000" w:rsidRDefault="00AF645A">
      <w:pPr>
        <w:pStyle w:val="T30X"/>
        <w:ind w:left="567" w:hanging="283"/>
      </w:pPr>
      <w:r>
        <w:t xml:space="preserve">   3) površine za posebne namjene i specijalne režime koriš</w:t>
      </w:r>
      <w:r>
        <w:t>ć</w:t>
      </w:r>
      <w:r>
        <w:t>enja.</w:t>
      </w:r>
    </w:p>
    <w:p w:rsidR="00000000" w:rsidRDefault="00AF645A">
      <w:pPr>
        <w:pStyle w:val="T30X"/>
      </w:pPr>
      <w:r>
        <w:t>Akusti</w:t>
      </w:r>
      <w:r>
        <w:t>č</w:t>
      </w:r>
      <w:r>
        <w:t>ko zoniranje se ne vrši za povr</w:t>
      </w:r>
      <w:r>
        <w:t>šine koje su planskim dokumentom svrstane u sljede</w:t>
      </w:r>
      <w:r>
        <w:t>ć</w:t>
      </w:r>
      <w:r>
        <w:t>e kategorije namjene površina:</w:t>
      </w:r>
    </w:p>
    <w:p w:rsidR="00000000" w:rsidRDefault="00AF645A">
      <w:pPr>
        <w:pStyle w:val="T30X"/>
        <w:ind w:left="567" w:hanging="283"/>
      </w:pPr>
      <w:r>
        <w:t xml:space="preserve">   1) poljoprivredne površine;</w:t>
      </w:r>
    </w:p>
    <w:p w:rsidR="00000000" w:rsidRDefault="00AF645A">
      <w:pPr>
        <w:pStyle w:val="T30X"/>
        <w:ind w:left="567" w:hanging="283"/>
      </w:pPr>
      <w:r>
        <w:t xml:space="preserve">   2) šumske površine;</w:t>
      </w:r>
    </w:p>
    <w:p w:rsidR="00000000" w:rsidRDefault="00AF645A">
      <w:pPr>
        <w:pStyle w:val="T30X"/>
        <w:ind w:left="567" w:hanging="283"/>
      </w:pPr>
      <w:r>
        <w:t xml:space="preserve">   3) vodne površine;</w:t>
      </w:r>
    </w:p>
    <w:p w:rsidR="00000000" w:rsidRDefault="00AF645A">
      <w:pPr>
        <w:pStyle w:val="T30X"/>
        <w:ind w:left="567" w:hanging="283"/>
      </w:pPr>
      <w:r>
        <w:t xml:space="preserve">   4) komunalna podru</w:t>
      </w:r>
      <w:r>
        <w:t>č</w:t>
      </w:r>
      <w:r>
        <w:t>ja (groblja, deponije i sli</w:t>
      </w:r>
      <w:r>
        <w:t>č</w:t>
      </w:r>
      <w:r>
        <w:t>no), osim pijaca i tržnica;</w:t>
      </w:r>
    </w:p>
    <w:p w:rsidR="00000000" w:rsidRDefault="00AF645A">
      <w:pPr>
        <w:pStyle w:val="T30X"/>
        <w:ind w:left="567" w:hanging="283"/>
      </w:pPr>
      <w:r>
        <w:t xml:space="preserve">   5) druge prirodne</w:t>
      </w:r>
      <w:r>
        <w:t xml:space="preserve"> površine, ako za njih nije predvi</w:t>
      </w:r>
      <w:r>
        <w:t>đ</w:t>
      </w:r>
      <w:r>
        <w:t>en specijalan režim koriš</w:t>
      </w:r>
      <w:r>
        <w:t>ć</w:t>
      </w:r>
      <w:r>
        <w:t>enja;</w:t>
      </w:r>
    </w:p>
    <w:p w:rsidR="00000000" w:rsidRDefault="00AF645A">
      <w:pPr>
        <w:pStyle w:val="T30X"/>
        <w:ind w:left="567" w:hanging="283"/>
      </w:pPr>
      <w:r>
        <w:t xml:space="preserve">   6) površine od interesa za odbranu.</w:t>
      </w:r>
    </w:p>
    <w:p w:rsidR="00000000" w:rsidRDefault="00AF645A">
      <w:pPr>
        <w:pStyle w:val="N01X"/>
      </w:pPr>
      <w:r>
        <w:t>Akusti</w:t>
      </w:r>
      <w:r>
        <w:t>č</w:t>
      </w:r>
      <w:r>
        <w:t>ke zone</w:t>
      </w:r>
    </w:p>
    <w:p w:rsidR="00000000" w:rsidRDefault="00AF645A">
      <w:pPr>
        <w:pStyle w:val="C30X"/>
      </w:pPr>
      <w:r>
        <w:t>Č</w:t>
      </w:r>
      <w:r>
        <w:t>lan 7</w:t>
      </w:r>
    </w:p>
    <w:p w:rsidR="00000000" w:rsidRDefault="00AF645A">
      <w:pPr>
        <w:pStyle w:val="T30X"/>
      </w:pPr>
      <w:r>
        <w:t>Akusti</w:t>
      </w:r>
      <w:r>
        <w:t>č</w:t>
      </w:r>
      <w:r>
        <w:t>ke zone su:</w:t>
      </w:r>
    </w:p>
    <w:p w:rsidR="00000000" w:rsidRDefault="00AF645A">
      <w:pPr>
        <w:pStyle w:val="T30X"/>
        <w:ind w:left="567" w:hanging="283"/>
      </w:pPr>
      <w:r>
        <w:t xml:space="preserve">   1) tiha zona u prirodi;</w:t>
      </w:r>
    </w:p>
    <w:p w:rsidR="00000000" w:rsidRDefault="00AF645A">
      <w:pPr>
        <w:pStyle w:val="T30X"/>
        <w:ind w:left="567" w:hanging="283"/>
      </w:pPr>
      <w:r>
        <w:t xml:space="preserve">   2) tiha zona u aglomeraciji;</w:t>
      </w:r>
    </w:p>
    <w:p w:rsidR="00000000" w:rsidRDefault="00AF645A">
      <w:pPr>
        <w:pStyle w:val="T30X"/>
        <w:ind w:left="567" w:hanging="283"/>
      </w:pPr>
      <w:r>
        <w:t xml:space="preserve">   3) zona povišenog režima zaštite od buke;</w:t>
      </w:r>
    </w:p>
    <w:p w:rsidR="00000000" w:rsidRDefault="00AF645A">
      <w:pPr>
        <w:pStyle w:val="T30X"/>
        <w:ind w:left="567" w:hanging="283"/>
      </w:pPr>
      <w:r>
        <w:t xml:space="preserve">   4) stambena zona;</w:t>
      </w:r>
    </w:p>
    <w:p w:rsidR="00000000" w:rsidRDefault="00AF645A">
      <w:pPr>
        <w:pStyle w:val="T30X"/>
        <w:ind w:left="567" w:hanging="283"/>
      </w:pPr>
      <w:r>
        <w:t xml:space="preserve">   5) zona mješovite namjene;</w:t>
      </w:r>
    </w:p>
    <w:p w:rsidR="00000000" w:rsidRDefault="00AF645A">
      <w:pPr>
        <w:pStyle w:val="T30X"/>
        <w:ind w:left="567" w:hanging="283"/>
      </w:pPr>
      <w:r>
        <w:t xml:space="preserve">   6) zona pod izraženim uticajem buke koja poti</w:t>
      </w:r>
      <w:r>
        <w:t>č</w:t>
      </w:r>
      <w:r>
        <w:t>e od saobra</w:t>
      </w:r>
      <w:r>
        <w:t>ć</w:t>
      </w:r>
      <w:r>
        <w:t>aja;</w:t>
      </w:r>
    </w:p>
    <w:p w:rsidR="00000000" w:rsidRDefault="00AF645A">
      <w:pPr>
        <w:pStyle w:val="T30X"/>
        <w:ind w:left="567" w:hanging="283"/>
      </w:pPr>
      <w:r>
        <w:lastRenderedPageBreak/>
        <w:t xml:space="preserve">   7) industrijska zona i</w:t>
      </w:r>
    </w:p>
    <w:p w:rsidR="00000000" w:rsidRDefault="00AF645A">
      <w:pPr>
        <w:pStyle w:val="T30X"/>
        <w:ind w:left="567" w:hanging="283"/>
      </w:pPr>
      <w:r>
        <w:t xml:space="preserve">   8) zona eksploatacije mineralnih sirovina.</w:t>
      </w:r>
    </w:p>
    <w:p w:rsidR="00000000" w:rsidRDefault="00AF645A">
      <w:pPr>
        <w:pStyle w:val="T30X"/>
      </w:pPr>
      <w:r>
        <w:t>Podaci koji odre</w:t>
      </w:r>
      <w:r>
        <w:t>đ</w:t>
      </w:r>
      <w:r>
        <w:t>uju akusti</w:t>
      </w:r>
      <w:r>
        <w:t>č</w:t>
      </w:r>
      <w:r>
        <w:t>ke zone su:</w:t>
      </w:r>
    </w:p>
    <w:p w:rsidR="00000000" w:rsidRDefault="00AF645A">
      <w:pPr>
        <w:pStyle w:val="T30X"/>
        <w:ind w:left="567" w:hanging="283"/>
      </w:pPr>
      <w:r>
        <w:t xml:space="preserve">   1) geografski opis podru</w:t>
      </w:r>
      <w:r>
        <w:t>č</w:t>
      </w:r>
      <w:r>
        <w:t>ja koje je obuhva</w:t>
      </w:r>
      <w:r>
        <w:t>ć</w:t>
      </w:r>
      <w:r>
        <w:t>eno akusti</w:t>
      </w:r>
      <w:r>
        <w:t>č</w:t>
      </w:r>
      <w:r>
        <w:t>kom zonom;</w:t>
      </w:r>
    </w:p>
    <w:p w:rsidR="00000000" w:rsidRDefault="00AF645A">
      <w:pPr>
        <w:pStyle w:val="T30X"/>
        <w:ind w:left="567" w:hanging="283"/>
      </w:pPr>
      <w:r>
        <w:t xml:space="preserve">   2) opis glavnih izvora buke i njihovih karakteristika koje su zna</w:t>
      </w:r>
      <w:r>
        <w:t>č</w:t>
      </w:r>
      <w:r>
        <w:t>ajne za akusti</w:t>
      </w:r>
      <w:r>
        <w:t>č</w:t>
      </w:r>
      <w:r>
        <w:t>ku zonu;</w:t>
      </w:r>
    </w:p>
    <w:p w:rsidR="00000000" w:rsidRDefault="00AF645A">
      <w:pPr>
        <w:pStyle w:val="T30X"/>
        <w:ind w:left="567" w:hanging="283"/>
      </w:pPr>
      <w:r>
        <w:t xml:space="preserve">   3) grani</w:t>
      </w:r>
      <w:r>
        <w:t>č</w:t>
      </w:r>
      <w:r>
        <w:t>ne vrijednosti za akusti</w:t>
      </w:r>
      <w:r>
        <w:t>č</w:t>
      </w:r>
      <w:r>
        <w:t>ku zonu.</w:t>
      </w:r>
    </w:p>
    <w:p w:rsidR="00000000" w:rsidRDefault="00AF645A">
      <w:pPr>
        <w:pStyle w:val="T30X"/>
      </w:pPr>
      <w:r>
        <w:t>Kriterijumi za utvr</w:t>
      </w:r>
      <w:r>
        <w:t>đ</w:t>
      </w:r>
      <w:r>
        <w:t>ivanje akusti</w:t>
      </w:r>
      <w:r>
        <w:t>č</w:t>
      </w:r>
      <w:r>
        <w:t xml:space="preserve">kih zona iz stava 1 ovog </w:t>
      </w:r>
      <w:r>
        <w:t>č</w:t>
      </w:r>
      <w:r>
        <w:t>lana u skladu sa</w:t>
      </w:r>
      <w:r>
        <w:t xml:space="preserve"> kategorijama namjene prostora dati su u Prilogu 2.</w:t>
      </w:r>
    </w:p>
    <w:p w:rsidR="00000000" w:rsidRDefault="00AF645A">
      <w:pPr>
        <w:pStyle w:val="N01X"/>
      </w:pPr>
      <w:r>
        <w:t>Na</w:t>
      </w:r>
      <w:r>
        <w:t>č</w:t>
      </w:r>
      <w:r>
        <w:t>in utvr</w:t>
      </w:r>
      <w:r>
        <w:t>đ</w:t>
      </w:r>
      <w:r>
        <w:t>ivanja akusti</w:t>
      </w:r>
      <w:r>
        <w:t>č</w:t>
      </w:r>
      <w:r>
        <w:t>kih zona</w:t>
      </w:r>
    </w:p>
    <w:p w:rsidR="00000000" w:rsidRDefault="00AF645A">
      <w:pPr>
        <w:pStyle w:val="C30X"/>
      </w:pPr>
      <w:r>
        <w:t>Č</w:t>
      </w:r>
      <w:r>
        <w:t>lan 8</w:t>
      </w:r>
    </w:p>
    <w:p w:rsidR="00000000" w:rsidRDefault="00AF645A">
      <w:pPr>
        <w:pStyle w:val="T30X"/>
      </w:pPr>
      <w:r>
        <w:t>Utvr</w:t>
      </w:r>
      <w:r>
        <w:t>đ</w:t>
      </w:r>
      <w:r>
        <w:t>ivanje akusti</w:t>
      </w:r>
      <w:r>
        <w:t>č</w:t>
      </w:r>
      <w:r>
        <w:t>kih zona vrši se na osnovu grafi</w:t>
      </w:r>
      <w:r>
        <w:t>č</w:t>
      </w:r>
      <w:r>
        <w:t>kih priloga prostornih, generalnih urbanisti</w:t>
      </w:r>
      <w:r>
        <w:t>č</w:t>
      </w:r>
      <w:r>
        <w:t>kih planova i planova generalne regulacije prostornih cjelina (pla</w:t>
      </w:r>
      <w:r>
        <w:t>nirana namjena, saobra</w:t>
      </w:r>
      <w:r>
        <w:t>ć</w:t>
      </w:r>
      <w:r>
        <w:t>ajna infrastruktura, javna namjena, energetska, komunalna i druga infrastruktura, zašti</w:t>
      </w:r>
      <w:r>
        <w:t>ć</w:t>
      </w:r>
      <w:r>
        <w:t>ena prirodna i kulturna dobra i drugih priloga referentnih za ovu oblast), u skladu sa propisima kojima se ure</w:t>
      </w:r>
      <w:r>
        <w:t>đ</w:t>
      </w:r>
      <w:r>
        <w:t>uje planiranje prostora i izgradnj</w:t>
      </w:r>
      <w:r>
        <w:t>a objekata.</w:t>
      </w:r>
    </w:p>
    <w:p w:rsidR="00000000" w:rsidRDefault="00AF645A">
      <w:pPr>
        <w:pStyle w:val="N01X"/>
      </w:pPr>
      <w:r>
        <w:t>Utvr</w:t>
      </w:r>
      <w:r>
        <w:t>đ</w:t>
      </w:r>
      <w:r>
        <w:t>ivanje pretežne namjene pojedinih podru</w:t>
      </w:r>
      <w:r>
        <w:t>č</w:t>
      </w:r>
      <w:r>
        <w:t>ja</w:t>
      </w:r>
    </w:p>
    <w:p w:rsidR="00000000" w:rsidRDefault="00AF645A">
      <w:pPr>
        <w:pStyle w:val="C30X"/>
      </w:pPr>
      <w:r>
        <w:t>Č</w:t>
      </w:r>
      <w:r>
        <w:t>lan 9</w:t>
      </w:r>
    </w:p>
    <w:p w:rsidR="00000000" w:rsidRDefault="00AF645A">
      <w:pPr>
        <w:pStyle w:val="T30X"/>
      </w:pPr>
      <w:r>
        <w:t>Akusti</w:t>
      </w:r>
      <w:r>
        <w:t>č</w:t>
      </w:r>
      <w:r>
        <w:t>ke zone se utvr</w:t>
      </w:r>
      <w:r>
        <w:t>đ</w:t>
      </w:r>
      <w:r>
        <w:t>uju prema postoje</w:t>
      </w:r>
      <w:r>
        <w:t>ć</w:t>
      </w:r>
      <w:r>
        <w:t>em stanju izgra</w:t>
      </w:r>
      <w:r>
        <w:t>đ</w:t>
      </w:r>
      <w:r>
        <w:t>enosti i na</w:t>
      </w:r>
      <w:r>
        <w:t>č</w:t>
      </w:r>
      <w:r>
        <w:t>inu koriš</w:t>
      </w:r>
      <w:r>
        <w:t>ć</w:t>
      </w:r>
      <w:r>
        <w:t>enja pojedinih podru</w:t>
      </w:r>
      <w:r>
        <w:t>č</w:t>
      </w:r>
      <w:r>
        <w:t>ja naselja, kao i prema planiranim pretežnim namjenama površina.</w:t>
      </w:r>
    </w:p>
    <w:p w:rsidR="00000000" w:rsidRDefault="00AF645A">
      <w:pPr>
        <w:pStyle w:val="T30X"/>
      </w:pPr>
      <w:r>
        <w:t>Utvr</w:t>
      </w:r>
      <w:r>
        <w:t>đ</w:t>
      </w:r>
      <w:r>
        <w:t>ivanje pretežne nam</w:t>
      </w:r>
      <w:r>
        <w:t>jene pojedinih podru</w:t>
      </w:r>
      <w:r>
        <w:t>č</w:t>
      </w:r>
      <w:r>
        <w:t>ja prema postoje</w:t>
      </w:r>
      <w:r>
        <w:t>ć</w:t>
      </w:r>
      <w:r>
        <w:t>em stanju izgra</w:t>
      </w:r>
      <w:r>
        <w:t>đ</w:t>
      </w:r>
      <w:r>
        <w:t>enosti i postoje</w:t>
      </w:r>
      <w:r>
        <w:t>ć</w:t>
      </w:r>
      <w:r>
        <w:t>em na</w:t>
      </w:r>
      <w:r>
        <w:t>č</w:t>
      </w:r>
      <w:r>
        <w:t>inu koriš</w:t>
      </w:r>
      <w:r>
        <w:t>ć</w:t>
      </w:r>
      <w:r>
        <w:t>enja, kao i planiranim namjenama, omogu</w:t>
      </w:r>
      <w:r>
        <w:t>ć</w:t>
      </w:r>
      <w:r>
        <w:t>ava sljede</w:t>
      </w:r>
      <w:r>
        <w:t>ć</w:t>
      </w:r>
      <w:r>
        <w:t>e aktivnosti:</w:t>
      </w:r>
    </w:p>
    <w:p w:rsidR="00000000" w:rsidRDefault="00AF645A">
      <w:pPr>
        <w:pStyle w:val="T30X"/>
        <w:ind w:left="567" w:hanging="283"/>
      </w:pPr>
      <w:r>
        <w:t xml:space="preserve">   1) sagledavanje mogu</w:t>
      </w:r>
      <w:r>
        <w:t>ć</w:t>
      </w:r>
      <w:r>
        <w:t>ih pojava buke u pojedinim podru</w:t>
      </w:r>
      <w:r>
        <w:t>č</w:t>
      </w:r>
      <w:r>
        <w:t>jima sa istim i razli</w:t>
      </w:r>
      <w:r>
        <w:t>č</w:t>
      </w:r>
      <w:r>
        <w:t>itim grani</w:t>
      </w:r>
      <w:r>
        <w:t>č</w:t>
      </w:r>
      <w:r>
        <w:t>nim vrijednost</w:t>
      </w:r>
      <w:r>
        <w:t>ima indikatora buke;</w:t>
      </w:r>
    </w:p>
    <w:p w:rsidR="00000000" w:rsidRDefault="00AF645A">
      <w:pPr>
        <w:pStyle w:val="T30X"/>
        <w:ind w:left="567" w:hanging="283"/>
      </w:pPr>
      <w:r>
        <w:t xml:space="preserve">   2) utvr</w:t>
      </w:r>
      <w:r>
        <w:t>đ</w:t>
      </w:r>
      <w:r>
        <w:t>ivanje potrebnih mjera za otklanjanje pove</w:t>
      </w:r>
      <w:r>
        <w:t>ć</w:t>
      </w:r>
      <w:r>
        <w:t>ane buke putem urbanisti</w:t>
      </w:r>
      <w:r>
        <w:t>č</w:t>
      </w:r>
      <w:r>
        <w:t>kog planiranja, investicionog projekta, tehni</w:t>
      </w:r>
      <w:r>
        <w:t>č</w:t>
      </w:r>
      <w:r>
        <w:t>kih mjera i drugih aktivnosti;</w:t>
      </w:r>
    </w:p>
    <w:p w:rsidR="00000000" w:rsidRDefault="00AF645A">
      <w:pPr>
        <w:pStyle w:val="T30X"/>
        <w:ind w:left="567" w:hanging="283"/>
      </w:pPr>
      <w:r>
        <w:t xml:space="preserve">   3) zabranu i ograni</w:t>
      </w:r>
      <w:r>
        <w:t>č</w:t>
      </w:r>
      <w:r>
        <w:t>avanje upotrebe izvora buke, odnosno obavljanje djelatno</w:t>
      </w:r>
      <w:r>
        <w:t>sti i drugih aktivnosti koje prouzrokuju buku iznad propisanih grani</w:t>
      </w:r>
      <w:r>
        <w:t>č</w:t>
      </w:r>
      <w:r>
        <w:t>nih vrijednosti.</w:t>
      </w:r>
    </w:p>
    <w:p w:rsidR="00000000" w:rsidRDefault="00AF645A">
      <w:pPr>
        <w:pStyle w:val="N01X"/>
      </w:pPr>
      <w:r>
        <w:t>Prikazivanje akusti</w:t>
      </w:r>
      <w:r>
        <w:t>č</w:t>
      </w:r>
      <w:r>
        <w:t>kih zona za podru</w:t>
      </w:r>
      <w:r>
        <w:t>č</w:t>
      </w:r>
      <w:r>
        <w:t>ja koja predstavljaju prostorno-funkcionalnu cjelinu</w:t>
      </w:r>
    </w:p>
    <w:p w:rsidR="00000000" w:rsidRDefault="00AF645A">
      <w:pPr>
        <w:pStyle w:val="C30X"/>
      </w:pPr>
      <w:r>
        <w:t>Č</w:t>
      </w:r>
      <w:r>
        <w:t>lan 10</w:t>
      </w:r>
    </w:p>
    <w:p w:rsidR="00000000" w:rsidRDefault="00AF645A">
      <w:pPr>
        <w:pStyle w:val="T30X"/>
      </w:pPr>
      <w:r>
        <w:t>Akusti</w:t>
      </w:r>
      <w:r>
        <w:t>č</w:t>
      </w:r>
      <w:r>
        <w:t>ke zone se prikazuju za podru</w:t>
      </w:r>
      <w:r>
        <w:t>č</w:t>
      </w:r>
      <w:r>
        <w:t>ja koja predstavljaju prostorno-fu</w:t>
      </w:r>
      <w:r>
        <w:t>nkcionalnu cjelinu, osim za zone povišenog režima zaštite od buke, kada se akusti</w:t>
      </w:r>
      <w:r>
        <w:t>č</w:t>
      </w:r>
      <w:r>
        <w:t>ke zone prikazuju za podru</w:t>
      </w:r>
      <w:r>
        <w:t>č</w:t>
      </w:r>
      <w:r>
        <w:t>ja koja obuhvataju objekte u kojima je neophodno zaštititi naro</w:t>
      </w:r>
      <w:r>
        <w:t>č</w:t>
      </w:r>
      <w:r>
        <w:t>ito osjetljive grupe stanovništva (djeca, stara lica, bolesnici i sli</w:t>
      </w:r>
      <w:r>
        <w:t>č</w:t>
      </w:r>
      <w:r>
        <w:t>no).</w:t>
      </w:r>
    </w:p>
    <w:p w:rsidR="00000000" w:rsidRDefault="00AF645A">
      <w:pPr>
        <w:pStyle w:val="N01X"/>
      </w:pPr>
      <w:r>
        <w:t>Podaci z</w:t>
      </w:r>
      <w:r>
        <w:t>a utvr</w:t>
      </w:r>
      <w:r>
        <w:t>đ</w:t>
      </w:r>
      <w:r>
        <w:t>ivanje akusti</w:t>
      </w:r>
      <w:r>
        <w:t>č</w:t>
      </w:r>
      <w:r>
        <w:t>kih zona i njihovih granica</w:t>
      </w:r>
    </w:p>
    <w:p w:rsidR="00000000" w:rsidRDefault="00AF645A">
      <w:pPr>
        <w:pStyle w:val="C30X"/>
      </w:pPr>
      <w:r>
        <w:t>Č</w:t>
      </w:r>
      <w:r>
        <w:t>lan 11</w:t>
      </w:r>
    </w:p>
    <w:p w:rsidR="00000000" w:rsidRDefault="00AF645A">
      <w:pPr>
        <w:pStyle w:val="T30X"/>
      </w:pPr>
      <w:r>
        <w:t>Za utvr</w:t>
      </w:r>
      <w:r>
        <w:t>đ</w:t>
      </w:r>
      <w:r>
        <w:t>ivanje akusti</w:t>
      </w:r>
      <w:r>
        <w:t>č</w:t>
      </w:r>
      <w:r>
        <w:t>kih zona i njihovih granica, kao i procjene prostornog uticaja pojedinih izvora buke na neko podru</w:t>
      </w:r>
      <w:r>
        <w:t>č</w:t>
      </w:r>
      <w:r>
        <w:t>je, mogu se uzeti u obzir:</w:t>
      </w:r>
    </w:p>
    <w:p w:rsidR="00000000" w:rsidRDefault="00AF645A">
      <w:pPr>
        <w:pStyle w:val="T30X"/>
        <w:ind w:left="567" w:hanging="283"/>
      </w:pPr>
      <w:r>
        <w:t xml:space="preserve">   1) rezultati monitoringa buke u životnoj sredini</w:t>
      </w:r>
      <w:r>
        <w:t>;</w:t>
      </w:r>
    </w:p>
    <w:p w:rsidR="00000000" w:rsidRDefault="00AF645A">
      <w:pPr>
        <w:pStyle w:val="T30X"/>
        <w:ind w:left="567" w:hanging="283"/>
      </w:pPr>
      <w:r>
        <w:t xml:space="preserve">   2) strateške karte buke, odnosno karte buke izra</w:t>
      </w:r>
      <w:r>
        <w:t>đ</w:t>
      </w:r>
      <w:r>
        <w:t>ene za odre</w:t>
      </w:r>
      <w:r>
        <w:t>đ</w:t>
      </w:r>
      <w:r>
        <w:t>eno podru</w:t>
      </w:r>
      <w:r>
        <w:t>č</w:t>
      </w:r>
      <w:r>
        <w:t>je koje je obuhva</w:t>
      </w:r>
      <w:r>
        <w:t>ć</w:t>
      </w:r>
      <w:r>
        <w:t>eno akusti</w:t>
      </w:r>
      <w:r>
        <w:t>č</w:t>
      </w:r>
      <w:r>
        <w:t>kom zonom.</w:t>
      </w:r>
    </w:p>
    <w:p w:rsidR="00000000" w:rsidRDefault="00AF645A">
      <w:pPr>
        <w:pStyle w:val="N01X"/>
      </w:pPr>
      <w:r>
        <w:t>Granice akusti</w:t>
      </w:r>
      <w:r>
        <w:t>č</w:t>
      </w:r>
      <w:r>
        <w:t>ke zone</w:t>
      </w:r>
    </w:p>
    <w:p w:rsidR="00000000" w:rsidRDefault="00AF645A">
      <w:pPr>
        <w:pStyle w:val="C30X"/>
      </w:pPr>
      <w:r>
        <w:t>Č</w:t>
      </w:r>
      <w:r>
        <w:t>lan 12</w:t>
      </w:r>
    </w:p>
    <w:p w:rsidR="00000000" w:rsidRDefault="00AF645A">
      <w:pPr>
        <w:pStyle w:val="T30X"/>
      </w:pPr>
      <w:r>
        <w:t>Granice akusti</w:t>
      </w:r>
      <w:r>
        <w:t>č</w:t>
      </w:r>
      <w:r>
        <w:t>ke zone treba da budu lako prepoznatljive na terenu, bez obzira da li predstavljaju vješta</w:t>
      </w:r>
      <w:r>
        <w:t>č</w:t>
      </w:r>
      <w:r>
        <w:t>ki izgra</w:t>
      </w:r>
      <w:r>
        <w:t>đ</w:t>
      </w:r>
      <w:r>
        <w:t>ene objekte, ulice, puteve, pruge ili drugo, ili su to prirodne linije kao što su korita rijeka, obale jezera ili opštinske granice.</w:t>
      </w:r>
    </w:p>
    <w:p w:rsidR="00000000" w:rsidRDefault="00AF645A">
      <w:pPr>
        <w:pStyle w:val="T30X"/>
      </w:pPr>
      <w:r>
        <w:t>Utvr</w:t>
      </w:r>
      <w:r>
        <w:t>đ</w:t>
      </w:r>
      <w:r>
        <w:t>ene akusti</w:t>
      </w:r>
      <w:r>
        <w:t>č</w:t>
      </w:r>
      <w:r>
        <w:t>ke zone ne treba da budu pretjerano male kako bi se izbjegla, koliko je to mogu</w:t>
      </w:r>
      <w:r>
        <w:t>ć</w:t>
      </w:r>
      <w:r>
        <w:t>e, prekomjerna fra</w:t>
      </w:r>
      <w:r>
        <w:t>gmentacija teritorije koja se akusti</w:t>
      </w:r>
      <w:r>
        <w:t>č</w:t>
      </w:r>
      <w:r>
        <w:t>ki zonira.</w:t>
      </w:r>
    </w:p>
    <w:p w:rsidR="00000000" w:rsidRDefault="00AF645A">
      <w:pPr>
        <w:pStyle w:val="N01X"/>
      </w:pPr>
      <w:r>
        <w:lastRenderedPageBreak/>
        <w:t>Kontakt akusti</w:t>
      </w:r>
      <w:r>
        <w:t>č</w:t>
      </w:r>
      <w:r>
        <w:t>kih zona</w:t>
      </w:r>
    </w:p>
    <w:p w:rsidR="00000000" w:rsidRDefault="00AF645A">
      <w:pPr>
        <w:pStyle w:val="C30X"/>
      </w:pPr>
      <w:r>
        <w:t>Č</w:t>
      </w:r>
      <w:r>
        <w:t>lan 13</w:t>
      </w:r>
    </w:p>
    <w:p w:rsidR="00000000" w:rsidRDefault="00AF645A">
      <w:pPr>
        <w:pStyle w:val="T30X"/>
      </w:pPr>
      <w:r>
        <w:t>Prilikom utvr</w:t>
      </w:r>
      <w:r>
        <w:t>đ</w:t>
      </w:r>
      <w:r>
        <w:t>ivanja akusti</w:t>
      </w:r>
      <w:r>
        <w:t>č</w:t>
      </w:r>
      <w:r>
        <w:t>kih zona treba obezbijediti da ne postoji direktan kontakt akusti</w:t>
      </w:r>
      <w:r>
        <w:t>č</w:t>
      </w:r>
      <w:r>
        <w:t xml:space="preserve">kih zona </w:t>
      </w:r>
      <w:r>
        <w:t>č</w:t>
      </w:r>
      <w:r>
        <w:t>ije se grani</w:t>
      </w:r>
      <w:r>
        <w:t>č</w:t>
      </w:r>
      <w:r>
        <w:t>ne vrijednosti razlikuju za više od 5 dB.</w:t>
      </w:r>
    </w:p>
    <w:p w:rsidR="00000000" w:rsidRDefault="00AF645A">
      <w:pPr>
        <w:pStyle w:val="T30X"/>
      </w:pPr>
      <w:r>
        <w:t>Na granici izme</w:t>
      </w:r>
      <w:r>
        <w:t>đ</w:t>
      </w:r>
      <w:r>
        <w:t>u</w:t>
      </w:r>
      <w:r>
        <w:t xml:space="preserve"> industrijske zone, odnosno zone pod jakim uticajem buke koja poti</w:t>
      </w:r>
      <w:r>
        <w:t>č</w:t>
      </w:r>
      <w:r>
        <w:t>e od saobra</w:t>
      </w:r>
      <w:r>
        <w:t>ć</w:t>
      </w:r>
      <w:r>
        <w:t xml:space="preserve">aja i </w:t>
      </w:r>
      <w:r>
        <w:t>č</w:t>
      </w:r>
      <w:r>
        <w:t>isto stambene zone, treba da se odredi zaštitna zona odgovaraju</w:t>
      </w:r>
      <w:r>
        <w:t>ć</w:t>
      </w:r>
      <w:r>
        <w:t>e širine u kojoj se primjenjuju grani</w:t>
      </w:r>
      <w:r>
        <w:t>č</w:t>
      </w:r>
      <w:r>
        <w:t>ne vrijednosti za zonu mješovite namjene.</w:t>
      </w:r>
    </w:p>
    <w:p w:rsidR="00000000" w:rsidRDefault="00AF645A">
      <w:pPr>
        <w:pStyle w:val="N01X"/>
      </w:pPr>
      <w:r>
        <w:t>Objekti saobra</w:t>
      </w:r>
      <w:r>
        <w:t>ć</w:t>
      </w:r>
      <w:r>
        <w:t>ajne infras</w:t>
      </w:r>
      <w:r>
        <w:t>trukture u akusti</w:t>
      </w:r>
      <w:r>
        <w:t>č</w:t>
      </w:r>
      <w:r>
        <w:t>kim zonama</w:t>
      </w:r>
    </w:p>
    <w:p w:rsidR="00000000" w:rsidRDefault="00AF645A">
      <w:pPr>
        <w:pStyle w:val="C30X"/>
      </w:pPr>
      <w:r>
        <w:t>Č</w:t>
      </w:r>
      <w:r>
        <w:t>lan 14</w:t>
      </w:r>
    </w:p>
    <w:p w:rsidR="00000000" w:rsidRDefault="00AF645A">
      <w:pPr>
        <w:pStyle w:val="T30X"/>
      </w:pPr>
      <w:r>
        <w:t>Grani</w:t>
      </w:r>
      <w:r>
        <w:t>č</w:t>
      </w:r>
      <w:r>
        <w:t>ne vrijednosti buke u akusti</w:t>
      </w:r>
      <w:r>
        <w:t>č</w:t>
      </w:r>
      <w:r>
        <w:t xml:space="preserve">kim zonama iz </w:t>
      </w:r>
      <w:r>
        <w:t>č</w:t>
      </w:r>
      <w:r>
        <w:t>lana 7 stav 1 ta</w:t>
      </w:r>
      <w:r>
        <w:t>č</w:t>
      </w:r>
      <w:r>
        <w:t>. 1 do 5 ovog pravilnika odnose se i na rekonstrukciju, projektovanje i izgradnju novih objekata saobra</w:t>
      </w:r>
      <w:r>
        <w:t>ć</w:t>
      </w:r>
      <w:r>
        <w:t>ajne infrastrukture, koridora infrastrukture dru</w:t>
      </w:r>
      <w:r>
        <w:t>mskog i željezni</w:t>
      </w:r>
      <w:r>
        <w:t>č</w:t>
      </w:r>
      <w:r>
        <w:t>kog saobra</w:t>
      </w:r>
      <w:r>
        <w:t>ć</w:t>
      </w:r>
      <w:r>
        <w:t>aja, pruga i puteva koji presijecaju te akusti</w:t>
      </w:r>
      <w:r>
        <w:t>č</w:t>
      </w:r>
      <w:r>
        <w:t>ke zone.</w:t>
      </w:r>
    </w:p>
    <w:p w:rsidR="00000000" w:rsidRDefault="00AF645A">
      <w:pPr>
        <w:pStyle w:val="N01X"/>
      </w:pPr>
      <w:r>
        <w:t>Štetni efekti buke</w:t>
      </w:r>
    </w:p>
    <w:p w:rsidR="00000000" w:rsidRDefault="00AF645A">
      <w:pPr>
        <w:pStyle w:val="C30X"/>
      </w:pPr>
      <w:r>
        <w:t>Č</w:t>
      </w:r>
      <w:r>
        <w:t>lan 15</w:t>
      </w:r>
    </w:p>
    <w:p w:rsidR="00000000" w:rsidRDefault="00AF645A">
      <w:pPr>
        <w:pStyle w:val="T30X"/>
      </w:pPr>
      <w:r>
        <w:t>Štetni efekti buke na zdravlje ljudi utvr</w:t>
      </w:r>
      <w:r>
        <w:t>đ</w:t>
      </w:r>
      <w:r>
        <w:t>uju se na osnovu odnosa izme</w:t>
      </w:r>
      <w:r>
        <w:t>đ</w:t>
      </w:r>
      <w:r>
        <w:t>u vrijednosti indikatora buke i štetnog efekta (odnos doza-efekat).</w:t>
      </w:r>
    </w:p>
    <w:p w:rsidR="00000000" w:rsidRDefault="00AF645A">
      <w:pPr>
        <w:pStyle w:val="T30X"/>
      </w:pPr>
      <w:r>
        <w:t>Metode</w:t>
      </w:r>
      <w:r>
        <w:t xml:space="preserve"> za ocjenu uznemiravanja i štetnih efekata buke date su u Prilogu 3.</w:t>
      </w:r>
    </w:p>
    <w:p w:rsidR="00000000" w:rsidRDefault="00AF645A">
      <w:pPr>
        <w:pStyle w:val="N01X"/>
      </w:pPr>
      <w:r>
        <w:t>Prilozi</w:t>
      </w:r>
    </w:p>
    <w:p w:rsidR="00000000" w:rsidRDefault="00AF645A">
      <w:pPr>
        <w:pStyle w:val="C30X"/>
      </w:pPr>
      <w:r>
        <w:t>Č</w:t>
      </w:r>
      <w:r>
        <w:t>lan 16</w:t>
      </w:r>
    </w:p>
    <w:p w:rsidR="00000000" w:rsidRDefault="00AF645A">
      <w:pPr>
        <w:pStyle w:val="T30X"/>
      </w:pPr>
      <w:r>
        <w:t xml:space="preserve">Prilozi 1, 2 i 3 </w:t>
      </w:r>
      <w:r>
        <w:t>č</w:t>
      </w:r>
      <w:r>
        <w:t>ine sastavni dio ovog pravilnika.</w:t>
      </w:r>
    </w:p>
    <w:p w:rsidR="00000000" w:rsidRDefault="00AF645A">
      <w:pPr>
        <w:pStyle w:val="N01X"/>
      </w:pPr>
      <w:r>
        <w:t>Prestanak važenja</w:t>
      </w:r>
    </w:p>
    <w:p w:rsidR="00000000" w:rsidRDefault="00AF645A">
      <w:pPr>
        <w:pStyle w:val="C30X"/>
      </w:pPr>
      <w:r>
        <w:t>Č</w:t>
      </w:r>
      <w:r>
        <w:t>lan 17</w:t>
      </w:r>
    </w:p>
    <w:p w:rsidR="00000000" w:rsidRDefault="00AF645A">
      <w:pPr>
        <w:pStyle w:val="T30X"/>
      </w:pPr>
      <w:r>
        <w:t>Danom stupanja na snagu ovog pravilnika prestaje da važi Pravilnik o grani</w:t>
      </w:r>
      <w:r>
        <w:t>č</w:t>
      </w:r>
      <w:r>
        <w:t xml:space="preserve">nim vrijednostima </w:t>
      </w:r>
      <w:r>
        <w:t>buke u životnoj sredini, na</w:t>
      </w:r>
      <w:r>
        <w:t>č</w:t>
      </w:r>
      <w:r>
        <w:t>inu utvr</w:t>
      </w:r>
      <w:r>
        <w:t>đ</w:t>
      </w:r>
      <w:r>
        <w:t>ivanja indikatora buke i akusti</w:t>
      </w:r>
      <w:r>
        <w:t>č</w:t>
      </w:r>
      <w:r>
        <w:t>kih zona i metodama ocjenjivanja štetnih efekata buke ("Službeni list CG", br. 60/11 i 94/21).</w:t>
      </w:r>
    </w:p>
    <w:p w:rsidR="00000000" w:rsidRDefault="00AF645A">
      <w:pPr>
        <w:pStyle w:val="N01X"/>
      </w:pPr>
      <w:r>
        <w:t>Stupanje na snagu</w:t>
      </w:r>
    </w:p>
    <w:p w:rsidR="00000000" w:rsidRDefault="00AF645A">
      <w:pPr>
        <w:pStyle w:val="C30X"/>
      </w:pPr>
      <w:r>
        <w:t>Č</w:t>
      </w:r>
      <w:r>
        <w:t>lan 18</w:t>
      </w:r>
    </w:p>
    <w:p w:rsidR="00000000" w:rsidRDefault="00AF645A">
      <w:pPr>
        <w:pStyle w:val="T30X"/>
      </w:pPr>
      <w:r>
        <w:t>Ovaj pravilnik stupa na snagu osmog dana od dana objavljivanja u "</w:t>
      </w:r>
      <w:r>
        <w:t>Službenom listu Crne Gore".</w:t>
      </w:r>
    </w:p>
    <w:p w:rsidR="00000000" w:rsidRDefault="00AF645A">
      <w:pPr>
        <w:pStyle w:val="N01Z"/>
      </w:pPr>
      <w:r>
        <w:t>Broj: 04122-322/26-51/57</w:t>
      </w:r>
    </w:p>
    <w:p w:rsidR="00000000" w:rsidRDefault="00AF645A">
      <w:pPr>
        <w:pStyle w:val="N01Z"/>
      </w:pPr>
      <w:r>
        <w:t>Podgorica, 14. avgusta 2026. godine</w:t>
      </w:r>
    </w:p>
    <w:p w:rsidR="00000000" w:rsidRDefault="00AF645A">
      <w:pPr>
        <w:pStyle w:val="N01Z"/>
      </w:pPr>
      <w:r>
        <w:t>Ministar,</w:t>
      </w:r>
    </w:p>
    <w:p w:rsidR="00000000" w:rsidRDefault="00AF645A">
      <w:pPr>
        <w:pStyle w:val="N01Z"/>
      </w:pPr>
      <w:r>
        <w:t xml:space="preserve">Damjan </w:t>
      </w:r>
      <w:r>
        <w:t>Ć</w:t>
      </w:r>
      <w:r>
        <w:t>ulafi</w:t>
      </w:r>
      <w:r>
        <w:t>ć</w:t>
      </w:r>
      <w:r>
        <w:t>, s.r.</w:t>
      </w:r>
    </w:p>
    <w:p w:rsidR="00000000" w:rsidRDefault="00AF645A">
      <w:pPr>
        <w:pStyle w:val="FSNT"/>
      </w:pPr>
      <w:r>
        <w:t>___________________________</w:t>
      </w:r>
    </w:p>
    <w:p w:rsidR="00000000" w:rsidRDefault="00AF645A">
      <w:pPr>
        <w:pStyle w:val="FSNT"/>
      </w:pPr>
      <w:r>
        <w:rPr>
          <w:rFonts w:ascii="Cambria Math" w:hAnsi="Cambria Math" w:cs="Cambria Math"/>
        </w:rPr>
        <w:t>∗</w:t>
      </w:r>
      <w:r>
        <w:t>U ovaj pravilnik prenijeta je Direktiva 2002/49/EZ Evropskog parlamenta i Savjeta od 25. juna 2002. godine o procjeni i upravljanju bukom u životnoj sredini / Directive 2002/49/EC of the European Parliament and of the Council of 25 June 2002 relating to th</w:t>
      </w:r>
      <w:r>
        <w:t>e assessment and management of environmental noise (consolidated text) - 02002L0049-20210729.</w:t>
      </w:r>
    </w:p>
    <w:p w:rsidR="00000000" w:rsidRDefault="00AF645A">
      <w:pPr>
        <w:pStyle w:val="ODRX"/>
      </w:pPr>
      <w:r>
        <w:t>NAPOMENA IZDAVA</w:t>
      </w:r>
      <w:r>
        <w:t>Č</w:t>
      </w:r>
      <w:r>
        <w:t>A:</w:t>
      </w:r>
    </w:p>
    <w:p w:rsidR="00AF645A" w:rsidRDefault="00AF645A">
      <w:pPr>
        <w:pStyle w:val="T30X"/>
        <w:ind w:left="-283"/>
      </w:pPr>
      <w:r>
        <w:t>Priloge koji su sastavni dio ovog propisa možete pogledati ovdje.</w:t>
      </w:r>
    </w:p>
    <w:sectPr w:rsidR="00AF645A">
      <w:headerReference w:type="even" r:id="rId6"/>
      <w:headerReference w:type="default" r:id="rId7"/>
      <w:footerReference w:type="even" r:id="rId8"/>
      <w:footerReference w:type="default" r:id="rId9"/>
      <w:pgSz w:w="11906" w:h="16838"/>
      <w:pgMar w:top="850" w:right="850" w:bottom="850" w:left="850" w:header="567" w:footer="567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F645A" w:rsidRDefault="00AF645A">
      <w:r>
        <w:separator/>
      </w:r>
    </w:p>
  </w:endnote>
  <w:endnote w:type="continuationSeparator" w:id="0">
    <w:p w:rsidR="00AF645A" w:rsidRDefault="00AF64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top w:w="40" w:type="dxa"/>
        <w:left w:w="0" w:type="dxa"/>
        <w:bottom w:w="40" w:type="dxa"/>
        <w:right w:w="0" w:type="dxa"/>
      </w:tblCellMar>
      <w:tblLook w:val="0000" w:firstRow="0" w:lastRow="0" w:firstColumn="0" w:lastColumn="0" w:noHBand="0" w:noVBand="0"/>
    </w:tblPr>
    <w:tblGrid>
      <w:gridCol w:w="5102"/>
      <w:gridCol w:w="5103"/>
    </w:tblGrid>
    <w:tr w:rsidR="00000000">
      <w:tblPrEx>
        <w:tblCellMar>
          <w:left w:w="0" w:type="dxa"/>
          <w:right w:w="0" w:type="dxa"/>
        </w:tblCellMar>
      </w:tblPrEx>
      <w:trPr>
        <w:cantSplit/>
        <w:trHeight w:val="240"/>
      </w:trPr>
      <w:tc>
        <w:tcPr>
          <w:tcW w:w="5102" w:type="dxa"/>
          <w:tcBorders>
            <w:top w:val="dotted" w:sz="4" w:space="0" w:color="000000"/>
            <w:left w:val="nil"/>
            <w:bottom w:val="nil"/>
            <w:right w:val="nil"/>
          </w:tcBorders>
          <w:shd w:val="clear" w:color="auto" w:fill="FFFFFF"/>
          <w:tcMar>
            <w:left w:w="68" w:type="dxa"/>
            <w:right w:w="68" w:type="dxa"/>
          </w:tcMar>
        </w:tcPr>
        <w:p w:rsidR="00000000" w:rsidRDefault="00AF645A">
          <w:pPr>
            <w:pStyle w:val="Fotter"/>
          </w:pPr>
          <w:hyperlink w:anchor="http___www_katalogpropisa_me" w:history="1">
            <w:r>
              <w:rPr>
                <w:rStyle w:val="Hyperlink"/>
              </w:rPr>
              <w:t>Pravni ekspert doo, Podgorica</w:t>
            </w:r>
          </w:hyperlink>
        </w:p>
      </w:tc>
      <w:tc>
        <w:tcPr>
          <w:tcW w:w="5103" w:type="dxa"/>
          <w:tcBorders>
            <w:top w:val="dotted" w:sz="4" w:space="0" w:color="000000"/>
            <w:left w:val="nil"/>
            <w:bottom w:val="nil"/>
            <w:right w:val="nil"/>
          </w:tcBorders>
          <w:shd w:val="clear" w:color="auto" w:fill="FFFFFF"/>
          <w:tcMar>
            <w:left w:w="68" w:type="dxa"/>
            <w:right w:w="68" w:type="dxa"/>
          </w:tcMar>
        </w:tcPr>
        <w:p w:rsidR="00000000" w:rsidRDefault="00AF645A">
          <w:pPr>
            <w:pStyle w:val="Fotter"/>
            <w:jc w:val="right"/>
          </w:pPr>
          <w:r>
            <w:fldChar w:fldCharType="begin"/>
          </w:r>
          <w:r>
            <w:instrText>PAGE</w:instrText>
          </w:r>
          <w:r>
            <w:fldChar w:fldCharType="separate"/>
          </w:r>
          <w:r>
            <w:t>&lt; Please update this field. &gt;</w:t>
          </w:r>
          <w:r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top w:w="40" w:type="dxa"/>
        <w:left w:w="0" w:type="dxa"/>
        <w:bottom w:w="40" w:type="dxa"/>
        <w:right w:w="0" w:type="dxa"/>
      </w:tblCellMar>
      <w:tblLook w:val="0000" w:firstRow="0" w:lastRow="0" w:firstColumn="0" w:lastColumn="0" w:noHBand="0" w:noVBand="0"/>
    </w:tblPr>
    <w:tblGrid>
      <w:gridCol w:w="5102"/>
      <w:gridCol w:w="5103"/>
    </w:tblGrid>
    <w:tr w:rsidR="00000000">
      <w:tblPrEx>
        <w:tblCellMar>
          <w:left w:w="0" w:type="dxa"/>
          <w:right w:w="0" w:type="dxa"/>
        </w:tblCellMar>
      </w:tblPrEx>
      <w:trPr>
        <w:cantSplit/>
        <w:trHeight w:val="240"/>
      </w:trPr>
      <w:tc>
        <w:tcPr>
          <w:tcW w:w="5102" w:type="dxa"/>
          <w:tcBorders>
            <w:top w:val="dotted" w:sz="4" w:space="0" w:color="000000"/>
            <w:left w:val="nil"/>
            <w:bottom w:val="nil"/>
            <w:right w:val="nil"/>
          </w:tcBorders>
          <w:shd w:val="clear" w:color="auto" w:fill="FFFFFF"/>
          <w:tcMar>
            <w:left w:w="68" w:type="dxa"/>
            <w:right w:w="68" w:type="dxa"/>
          </w:tcMar>
        </w:tcPr>
        <w:p w:rsidR="00000000" w:rsidRDefault="00AF645A">
          <w:pPr>
            <w:pStyle w:val="Fotter"/>
          </w:pPr>
          <w:hyperlink w:anchor="http___www_katalogpropisa_me" w:history="1">
            <w:r>
              <w:rPr>
                <w:rStyle w:val="Hyperlink"/>
              </w:rPr>
              <w:t>Pravni ekspert doo, Podgorica</w:t>
            </w:r>
          </w:hyperlink>
        </w:p>
      </w:tc>
      <w:tc>
        <w:tcPr>
          <w:tcW w:w="5103" w:type="dxa"/>
          <w:tcBorders>
            <w:top w:val="dotted" w:sz="4" w:space="0" w:color="000000"/>
            <w:left w:val="nil"/>
            <w:bottom w:val="nil"/>
            <w:right w:val="nil"/>
          </w:tcBorders>
          <w:shd w:val="clear" w:color="auto" w:fill="FFFFFF"/>
          <w:tcMar>
            <w:left w:w="68" w:type="dxa"/>
            <w:right w:w="68" w:type="dxa"/>
          </w:tcMar>
        </w:tcPr>
        <w:p w:rsidR="00000000" w:rsidRDefault="00AF645A">
          <w:pPr>
            <w:pStyle w:val="Fotter"/>
            <w:jc w:val="right"/>
          </w:pPr>
          <w:r>
            <w:fldChar w:fldCharType="begin"/>
          </w:r>
          <w:r>
            <w:instrText>PAGE</w:instrText>
          </w:r>
          <w:r>
            <w:fldChar w:fldCharType="separate"/>
          </w:r>
          <w:r>
            <w:t>&lt; Please update this field. &gt;</w:t>
          </w:r>
          <w: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F645A" w:rsidRDefault="00AF645A">
      <w:r>
        <w:separator/>
      </w:r>
    </w:p>
  </w:footnote>
  <w:footnote w:type="continuationSeparator" w:id="0">
    <w:p w:rsidR="00AF645A" w:rsidRDefault="00AF64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0000" w:rsidRDefault="00AF645A">
    <w:pPr>
      <w:pStyle w:val="Header"/>
    </w:pPr>
    <w:r>
      <w:t>Katalog propisa 2026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0000" w:rsidRDefault="00AF645A">
    <w:pPr>
      <w:pStyle w:val="Header"/>
    </w:pPr>
    <w:r>
      <w:t>Katalog propisa 2026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defaultTabStop w:val="720"/>
  <w:hyphenationZone w:val="425"/>
  <w:evenAndOddHeader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912"/>
    <w:rsid w:val="006E6912"/>
    <w:rsid w:val="00AF6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308C63F6-3B9E-4766-8563-3D871AB8C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r-Latn-ME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99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efaultParagraphFont0">
    <w:name w:val="DefaultParagraphFont"/>
  </w:style>
  <w:style w:type="paragraph" w:customStyle="1" w:styleId="Heading1">
    <w:name w:val="Heading1"/>
    <w:basedOn w:val="Normal"/>
    <w:uiPriority w:val="99"/>
    <w:pPr>
      <w:outlineLvl w:val="0"/>
    </w:pPr>
  </w:style>
  <w:style w:type="paragraph" w:customStyle="1" w:styleId="Heading2">
    <w:name w:val="Heading2"/>
    <w:basedOn w:val="Heading1"/>
    <w:uiPriority w:val="99"/>
    <w:pPr>
      <w:outlineLvl w:val="1"/>
    </w:pPr>
  </w:style>
  <w:style w:type="paragraph" w:customStyle="1" w:styleId="Heading3">
    <w:name w:val="Heading3"/>
    <w:basedOn w:val="Heading2"/>
    <w:uiPriority w:val="99"/>
    <w:pPr>
      <w:outlineLvl w:val="2"/>
    </w:pPr>
  </w:style>
  <w:style w:type="paragraph" w:customStyle="1" w:styleId="Heading4">
    <w:name w:val="Heading4"/>
    <w:basedOn w:val="Heading3"/>
    <w:uiPriority w:val="99"/>
    <w:pPr>
      <w:outlineLvl w:val="3"/>
    </w:pPr>
  </w:style>
  <w:style w:type="paragraph" w:customStyle="1" w:styleId="Heading5">
    <w:name w:val="Heading5"/>
    <w:basedOn w:val="Heading4"/>
    <w:uiPriority w:val="99"/>
    <w:pPr>
      <w:outlineLvl w:val="4"/>
    </w:pPr>
  </w:style>
  <w:style w:type="paragraph" w:customStyle="1" w:styleId="Heading6">
    <w:name w:val="Heading6"/>
    <w:basedOn w:val="Heading5"/>
    <w:uiPriority w:val="99"/>
    <w:pPr>
      <w:outlineLvl w:val="5"/>
    </w:pPr>
  </w:style>
  <w:style w:type="paragraph" w:customStyle="1" w:styleId="Heading7">
    <w:name w:val="Heading7"/>
    <w:basedOn w:val="Heading6"/>
    <w:uiPriority w:val="99"/>
    <w:pPr>
      <w:outlineLvl w:val="6"/>
    </w:pPr>
  </w:style>
  <w:style w:type="paragraph" w:customStyle="1" w:styleId="Heading8">
    <w:name w:val="Heading8"/>
    <w:basedOn w:val="Heading7"/>
    <w:uiPriority w:val="99"/>
    <w:pPr>
      <w:outlineLvl w:val="7"/>
    </w:pPr>
  </w:style>
  <w:style w:type="paragraph" w:customStyle="1" w:styleId="Heading9">
    <w:name w:val="Heading9"/>
    <w:basedOn w:val="Heading8"/>
    <w:uiPriority w:val="99"/>
    <w:pPr>
      <w:outlineLvl w:val="8"/>
    </w:pPr>
  </w:style>
  <w:style w:type="paragraph" w:styleId="List">
    <w:name w:val="List"/>
    <w:basedOn w:val="Normal"/>
    <w:uiPriority w:val="99"/>
  </w:style>
  <w:style w:type="paragraph" w:customStyle="1" w:styleId="Footnote">
    <w:name w:val="Footnote"/>
    <w:basedOn w:val="Normal"/>
    <w:uiPriority w:val="99"/>
  </w:style>
  <w:style w:type="paragraph" w:styleId="Header">
    <w:name w:val="header"/>
    <w:basedOn w:val="Normal"/>
    <w:link w:val="HeaderChar"/>
    <w:uiPriority w:val="99"/>
    <w:pPr>
      <w:pBdr>
        <w:bottom w:val="dotted" w:sz="4" w:space="0" w:color="4682B4"/>
      </w:pBdr>
      <w:tabs>
        <w:tab w:val="right" w:pos="9071"/>
      </w:tabs>
      <w:jc w:val="right"/>
    </w:pPr>
    <w:rPr>
      <w:rFonts w:ascii="Verdana" w:hAnsi="Verdana" w:cs="Verdana"/>
      <w:b/>
      <w:bCs/>
      <w:color w:val="4682B4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Pr>
      <w:rFonts w:ascii="Times New Roman" w:hAnsi="Times New Roman" w:cs="Times New Roman"/>
      <w:color w:val="000000"/>
      <w:sz w:val="20"/>
      <w:szCs w:val="20"/>
    </w:rPr>
  </w:style>
  <w:style w:type="paragraph" w:styleId="Footer">
    <w:name w:val="footer"/>
    <w:basedOn w:val="Normal"/>
    <w:link w:val="FooterChar"/>
    <w:uiPriority w:val="99"/>
    <w:pPr>
      <w:pBdr>
        <w:top w:val="dotted" w:sz="4" w:space="0" w:color="4682B4"/>
      </w:pBdr>
      <w:tabs>
        <w:tab w:val="center" w:pos="5669"/>
      </w:tabs>
      <w:jc w:val="center"/>
    </w:pPr>
    <w:rPr>
      <w:rFonts w:ascii="Verdana" w:hAnsi="Verdana" w:cs="Verdana"/>
      <w:b/>
      <w:bCs/>
      <w:color w:val="4682B4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Pr>
      <w:rFonts w:ascii="Times New Roman" w:hAnsi="Times New Roman" w:cs="Times New Roman"/>
      <w:color w:val="000000"/>
      <w:sz w:val="20"/>
      <w:szCs w:val="20"/>
    </w:rPr>
  </w:style>
  <w:style w:type="character" w:styleId="Hyperlink">
    <w:name w:val="Hyperlink"/>
    <w:basedOn w:val="DefaultParagraphFont0"/>
    <w:uiPriority w:val="99"/>
  </w:style>
  <w:style w:type="paragraph" w:customStyle="1" w:styleId="InvalidStyleName">
    <w:name w:val="InvalidStyleName"/>
    <w:basedOn w:val="Normal"/>
    <w:uiPriority w:val="99"/>
    <w:rPr>
      <w:b/>
      <w:bCs/>
      <w:color w:val="00FF00"/>
      <w:u w:val="dash"/>
    </w:rPr>
  </w:style>
  <w:style w:type="paragraph" w:customStyle="1" w:styleId="N03Y">
    <w:name w:val="N03Y"/>
    <w:basedOn w:val="Normal"/>
    <w:uiPriority w:val="99"/>
    <w:pPr>
      <w:spacing w:before="200" w:after="200"/>
      <w:jc w:val="center"/>
    </w:pPr>
    <w:rPr>
      <w:b/>
      <w:bCs/>
      <w:sz w:val="28"/>
      <w:szCs w:val="28"/>
    </w:rPr>
  </w:style>
  <w:style w:type="paragraph" w:customStyle="1" w:styleId="N01X">
    <w:name w:val="N01X"/>
    <w:basedOn w:val="Normal"/>
    <w:uiPriority w:val="99"/>
    <w:pPr>
      <w:spacing w:before="200" w:after="200"/>
      <w:jc w:val="center"/>
    </w:pPr>
    <w:rPr>
      <w:b/>
      <w:bCs/>
      <w:sz w:val="24"/>
      <w:szCs w:val="24"/>
    </w:rPr>
  </w:style>
  <w:style w:type="paragraph" w:customStyle="1" w:styleId="C30X">
    <w:name w:val="C30X"/>
    <w:basedOn w:val="Normal"/>
    <w:uiPriority w:val="99"/>
    <w:pPr>
      <w:spacing w:before="200" w:after="60"/>
      <w:jc w:val="center"/>
    </w:pPr>
    <w:rPr>
      <w:b/>
      <w:bCs/>
      <w:sz w:val="24"/>
      <w:szCs w:val="24"/>
    </w:rPr>
  </w:style>
  <w:style w:type="paragraph" w:customStyle="1" w:styleId="C31X">
    <w:name w:val="C31X"/>
    <w:basedOn w:val="Normal"/>
    <w:uiPriority w:val="99"/>
    <w:pPr>
      <w:spacing w:before="60" w:after="60"/>
      <w:jc w:val="center"/>
    </w:pPr>
    <w:rPr>
      <w:b/>
      <w:bCs/>
      <w:sz w:val="22"/>
      <w:szCs w:val="22"/>
    </w:rPr>
  </w:style>
  <w:style w:type="paragraph" w:customStyle="1" w:styleId="Fotter">
    <w:name w:val="Fotter"/>
    <w:basedOn w:val="Normal"/>
    <w:uiPriority w:val="99"/>
    <w:rPr>
      <w:rFonts w:ascii="Verdana" w:hAnsi="Verdana" w:cs="Verdana"/>
      <w:b/>
      <w:bCs/>
      <w:color w:val="4682B4"/>
      <w:sz w:val="18"/>
      <w:szCs w:val="18"/>
    </w:rPr>
  </w:style>
  <w:style w:type="paragraph" w:customStyle="1" w:styleId="ODRX">
    <w:name w:val="ODRX"/>
    <w:basedOn w:val="Normal"/>
    <w:uiPriority w:val="99"/>
    <w:pPr>
      <w:pBdr>
        <w:top w:val="single" w:sz="8" w:space="2" w:color="000000"/>
        <w:left w:val="single" w:sz="8" w:space="2" w:color="000000"/>
        <w:bottom w:val="single" w:sz="8" w:space="2" w:color="000000"/>
        <w:right w:val="single" w:sz="8" w:space="2" w:color="000000"/>
      </w:pBdr>
      <w:shd w:val="clear" w:color="auto" w:fill="D3D3D3"/>
      <w:spacing w:before="200" w:after="200"/>
      <w:jc w:val="center"/>
    </w:pPr>
    <w:rPr>
      <w:b/>
      <w:bCs/>
      <w:sz w:val="24"/>
      <w:szCs w:val="24"/>
    </w:rPr>
  </w:style>
  <w:style w:type="paragraph" w:customStyle="1" w:styleId="NVPX">
    <w:name w:val="NVPX"/>
    <w:basedOn w:val="Normal"/>
    <w:uiPriority w:val="99"/>
    <w:pPr>
      <w:pBdr>
        <w:top w:val="single" w:sz="8" w:space="2" w:color="000000"/>
        <w:left w:val="single" w:sz="8" w:space="2" w:color="000000"/>
        <w:bottom w:val="single" w:sz="8" w:space="2" w:color="000000"/>
        <w:right w:val="single" w:sz="8" w:space="2" w:color="000000"/>
      </w:pBdr>
      <w:shd w:val="clear" w:color="auto" w:fill="000000"/>
      <w:spacing w:before="200" w:after="200"/>
      <w:jc w:val="center"/>
    </w:pPr>
    <w:rPr>
      <w:b/>
      <w:bCs/>
      <w:color w:val="FFFFFF"/>
      <w:sz w:val="24"/>
      <w:szCs w:val="24"/>
    </w:rPr>
  </w:style>
  <w:style w:type="paragraph" w:customStyle="1" w:styleId="TextBox">
    <w:name w:val="TextBox"/>
    <w:basedOn w:val="Normal"/>
    <w:uiPriority w:val="99"/>
    <w:pPr>
      <w:pBdr>
        <w:top w:val="single" w:sz="20" w:space="3" w:color="000000"/>
        <w:left w:val="single" w:sz="20" w:space="3" w:color="000000"/>
        <w:bottom w:val="single" w:sz="20" w:space="3" w:color="000000"/>
        <w:right w:val="single" w:sz="20" w:space="3" w:color="000000"/>
      </w:pBdr>
      <w:shd w:val="clear" w:color="auto" w:fill="87CEEB"/>
      <w:jc w:val="both"/>
    </w:pPr>
  </w:style>
  <w:style w:type="paragraph" w:customStyle="1" w:styleId="TOC">
    <w:name w:val="TOC"/>
    <w:basedOn w:val="Normal"/>
    <w:uiPriority w:val="99"/>
    <w:pPr>
      <w:tabs>
        <w:tab w:val="right" w:leader="dot" w:pos="9071"/>
      </w:tabs>
    </w:pPr>
    <w:rPr>
      <w:color w:val="0000FF"/>
    </w:rPr>
  </w:style>
  <w:style w:type="paragraph" w:customStyle="1" w:styleId="N01Y">
    <w:name w:val="N01Y"/>
    <w:basedOn w:val="Normal"/>
    <w:uiPriority w:val="99"/>
    <w:pPr>
      <w:spacing w:before="60" w:after="60"/>
    </w:pPr>
    <w:rPr>
      <w:b/>
      <w:bCs/>
      <w:sz w:val="22"/>
      <w:szCs w:val="22"/>
    </w:rPr>
  </w:style>
  <w:style w:type="paragraph" w:customStyle="1" w:styleId="N02Y">
    <w:name w:val="N02Y"/>
    <w:basedOn w:val="Normal"/>
    <w:uiPriority w:val="99"/>
    <w:pPr>
      <w:spacing w:before="120" w:after="60"/>
      <w:ind w:firstLine="283"/>
      <w:jc w:val="both"/>
    </w:pPr>
    <w:rPr>
      <w:sz w:val="22"/>
      <w:szCs w:val="22"/>
    </w:rPr>
  </w:style>
  <w:style w:type="paragraph" w:customStyle="1" w:styleId="N05Y">
    <w:name w:val="N05Y"/>
    <w:basedOn w:val="Normal"/>
    <w:uiPriority w:val="99"/>
    <w:pPr>
      <w:spacing w:before="60" w:after="200"/>
      <w:jc w:val="center"/>
    </w:pPr>
    <w:rPr>
      <w:b/>
      <w:bCs/>
      <w:sz w:val="24"/>
      <w:szCs w:val="24"/>
    </w:rPr>
  </w:style>
  <w:style w:type="paragraph" w:customStyle="1" w:styleId="N01Z">
    <w:name w:val="N01Z"/>
    <w:basedOn w:val="Normal"/>
    <w:uiPriority w:val="99"/>
    <w:pPr>
      <w:spacing w:before="60" w:after="60"/>
      <w:jc w:val="center"/>
    </w:pPr>
    <w:rPr>
      <w:b/>
      <w:bCs/>
    </w:rPr>
  </w:style>
  <w:style w:type="paragraph" w:customStyle="1" w:styleId="T30X">
    <w:name w:val="T30X"/>
    <w:basedOn w:val="Normal"/>
    <w:uiPriority w:val="99"/>
    <w:pPr>
      <w:spacing w:before="60" w:after="60"/>
      <w:ind w:firstLine="283"/>
      <w:jc w:val="both"/>
    </w:pPr>
    <w:rPr>
      <w:sz w:val="22"/>
      <w:szCs w:val="22"/>
    </w:rPr>
  </w:style>
  <w:style w:type="paragraph" w:customStyle="1" w:styleId="TABELATE">
    <w:name w:val="TABELA_TE"/>
    <w:basedOn w:val="Normal"/>
    <w:uiPriority w:val="99"/>
    <w:pPr>
      <w:spacing w:before="60" w:after="60"/>
    </w:pPr>
    <w:rPr>
      <w:rFonts w:ascii="Courier New" w:hAnsi="Courier New" w:cs="Courier New"/>
      <w:sz w:val="16"/>
      <w:szCs w:val="16"/>
    </w:rPr>
  </w:style>
  <w:style w:type="paragraph" w:customStyle="1" w:styleId="T60X">
    <w:name w:val="T60X"/>
    <w:basedOn w:val="Normal"/>
    <w:uiPriority w:val="99"/>
    <w:pPr>
      <w:spacing w:before="60" w:after="60"/>
      <w:jc w:val="center"/>
    </w:pPr>
    <w:rPr>
      <w:i/>
      <w:iCs/>
      <w:sz w:val="22"/>
      <w:szCs w:val="22"/>
    </w:rPr>
  </w:style>
  <w:style w:type="paragraph" w:customStyle="1" w:styleId="FSNT">
    <w:name w:val="FSNT"/>
    <w:basedOn w:val="Normal"/>
    <w:uiPriority w:val="99"/>
    <w:pPr>
      <w:spacing w:before="200" w:after="120"/>
      <w:ind w:left="850" w:hanging="170"/>
    </w:pPr>
    <w:rPr>
      <w:sz w:val="18"/>
      <w:szCs w:val="18"/>
    </w:rPr>
  </w:style>
  <w:style w:type="paragraph" w:customStyle="1" w:styleId="HLINE">
    <w:name w:val="HLINE"/>
    <w:basedOn w:val="Normal"/>
    <w:uiPriority w:val="99"/>
    <w:pPr>
      <w:pBdr>
        <w:top w:val="single" w:sz="8" w:space="1" w:color="000000"/>
        <w:left w:val="none" w:sz="0" w:space="1" w:color="auto"/>
        <w:bottom w:val="none" w:sz="0" w:space="1" w:color="auto"/>
        <w:right w:val="none" w:sz="0" w:space="1" w:color="auto"/>
      </w:pBdr>
      <w:spacing w:before="60"/>
      <w:jc w:val="center"/>
    </w:pPr>
  </w:style>
  <w:style w:type="paragraph" w:customStyle="1" w:styleId="SPN">
    <w:name w:val="SPN"/>
    <w:basedOn w:val="Normal"/>
    <w:uiPriority w:val="99"/>
    <w:pPr>
      <w:spacing w:before="200" w:after="200"/>
      <w:jc w:val="center"/>
    </w:pPr>
    <w:rPr>
      <w:b/>
      <w:bCs/>
      <w:sz w:val="28"/>
      <w:szCs w:val="28"/>
    </w:rPr>
  </w:style>
  <w:style w:type="paragraph" w:customStyle="1" w:styleId="SPS">
    <w:name w:val="SPS"/>
    <w:basedOn w:val="Normal"/>
    <w:uiPriority w:val="99"/>
    <w:pPr>
      <w:spacing w:before="100" w:after="100"/>
    </w:pPr>
    <w:rPr>
      <w:color w:val="000080"/>
      <w:sz w:val="24"/>
      <w:szCs w:val="24"/>
    </w:rPr>
  </w:style>
  <w:style w:type="paragraph" w:customStyle="1" w:styleId="SPP">
    <w:name w:val="SPP"/>
    <w:basedOn w:val="Normal"/>
    <w:uiPriority w:val="99"/>
    <w:pPr>
      <w:spacing w:before="200" w:after="200"/>
      <w:jc w:val="center"/>
    </w:pPr>
    <w:rPr>
      <w:b/>
      <w:bCs/>
      <w:sz w:val="22"/>
      <w:szCs w:val="22"/>
    </w:rPr>
  </w:style>
  <w:style w:type="paragraph" w:customStyle="1" w:styleId="SPOB">
    <w:name w:val="SPOB"/>
    <w:basedOn w:val="Normal"/>
    <w:uiPriority w:val="99"/>
    <w:pPr>
      <w:spacing w:before="60" w:after="60"/>
      <w:jc w:val="center"/>
    </w:pPr>
    <w:rPr>
      <w:b/>
      <w:bCs/>
      <w:i/>
      <w:iCs/>
      <w:sz w:val="22"/>
      <w:szCs w:val="22"/>
    </w:rPr>
  </w:style>
  <w:style w:type="paragraph" w:customStyle="1" w:styleId="SPT">
    <w:name w:val="SPT"/>
    <w:basedOn w:val="Normal"/>
    <w:uiPriority w:val="99"/>
    <w:pPr>
      <w:spacing w:before="140" w:after="140"/>
      <w:jc w:val="both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1619</Words>
  <Characters>9232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</vt:lpstr>
    </vt:vector>
  </TitlesOfParts>
  <Company/>
  <LinksUpToDate>false</LinksUpToDate>
  <CharactersWithSpaces>10830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</dc:title>
  <dc:subject></dc:subject>
  <dc:creator></dc:creator>
  <cp:keywords/>
  <dc:description/>
  <cp:lastModifiedBy>Tamara Djurovic</cp:lastModifiedBy>
  <cp:revision>2</cp:revision>
  <dcterms:created xsi:type="dcterms:W3CDTF">2026-08-26T22:56:00Z</dcterms:created>
  <dcterms:modified xsi:type="dcterms:W3CDTF">2026-08-26T22:56:00Z</dcterms:modified>
</cp:coreProperties>
</file>